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BDB" w:rsidRPr="00102F40" w:rsidRDefault="00046BDB" w:rsidP="00EF35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046BDB" w:rsidRPr="00102F40" w:rsidRDefault="00046BDB" w:rsidP="00EF35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5F4" w:rsidRPr="00102F40" w:rsidRDefault="00AF6E11" w:rsidP="00EF35F4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02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ИНСТРУКЦИЯ</w:t>
      </w:r>
      <w:r w:rsidR="00EF35F4" w:rsidRPr="00102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AF6E11" w:rsidRPr="00102F40" w:rsidRDefault="00536838" w:rsidP="00EF35F4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02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по </w:t>
      </w:r>
      <w:r w:rsidR="00EF35F4" w:rsidRPr="00102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медицинскому </w:t>
      </w:r>
      <w:r w:rsidRPr="00102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применению лекарственного препарата</w:t>
      </w:r>
    </w:p>
    <w:p w:rsidR="00EF35F4" w:rsidRPr="00102F40" w:rsidRDefault="00EF35F4" w:rsidP="00EF35F4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46BDB" w:rsidRPr="00102F40" w:rsidRDefault="00AF6E11" w:rsidP="00EF35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АПРОТИНИН</w:t>
      </w:r>
    </w:p>
    <w:p w:rsidR="00EF35F4" w:rsidRPr="00102F40" w:rsidRDefault="00EF35F4" w:rsidP="00EF35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BDB" w:rsidRPr="00B667D8" w:rsidRDefault="00046BDB" w:rsidP="00B667D8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Регистрационный номер: </w:t>
      </w:r>
      <w:bookmarkStart w:id="0" w:name="_GoBack"/>
      <w:r w:rsidR="00B667D8" w:rsidRPr="00B667D8">
        <w:rPr>
          <w:rFonts w:ascii="Times New Roman" w:hAnsi="Times New Roman" w:cs="Times New Roman"/>
          <w:sz w:val="24"/>
          <w:szCs w:val="24"/>
        </w:rPr>
        <w:t>Л-005300</w:t>
      </w:r>
      <w:bookmarkEnd w:id="0"/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Торговое </w:t>
      </w:r>
      <w:r w:rsidR="00641EE3" w:rsidRPr="00102F40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102F40">
        <w:rPr>
          <w:rFonts w:ascii="Times New Roman" w:hAnsi="Times New Roman" w:cs="Times New Roman"/>
          <w:b/>
          <w:sz w:val="24"/>
          <w:szCs w:val="24"/>
        </w:rPr>
        <w:t>: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Международное непатентованное </w:t>
      </w:r>
      <w:r w:rsidR="00641EE3" w:rsidRPr="00102F40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536838" w:rsidRPr="00102F40">
        <w:rPr>
          <w:rFonts w:ascii="Times New Roman" w:hAnsi="Times New Roman" w:cs="Times New Roman"/>
          <w:b/>
          <w:sz w:val="24"/>
          <w:szCs w:val="24"/>
        </w:rPr>
        <w:t xml:space="preserve"> (МНН)</w:t>
      </w:r>
      <w:r w:rsidRPr="00102F40">
        <w:rPr>
          <w:rFonts w:ascii="Times New Roman" w:hAnsi="Times New Roman" w:cs="Times New Roman"/>
          <w:b/>
          <w:sz w:val="24"/>
          <w:szCs w:val="24"/>
        </w:rPr>
        <w:t>: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Лекарственная форма:</w:t>
      </w:r>
      <w:r w:rsidRPr="00102F40">
        <w:rPr>
          <w:rFonts w:ascii="Times New Roman" w:hAnsi="Times New Roman" w:cs="Times New Roman"/>
          <w:sz w:val="24"/>
          <w:szCs w:val="24"/>
        </w:rPr>
        <w:t xml:space="preserve"> раствор для внутривенного введения</w:t>
      </w:r>
    </w:p>
    <w:p w:rsidR="00046BDB" w:rsidRPr="00102F40" w:rsidRDefault="007D5CAF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Состав</w:t>
      </w:r>
      <w:r w:rsidR="005E1CC3" w:rsidRPr="00102F40">
        <w:rPr>
          <w:rFonts w:ascii="Times New Roman" w:hAnsi="Times New Roman" w:cs="Times New Roman"/>
          <w:b/>
          <w:sz w:val="24"/>
          <w:szCs w:val="24"/>
        </w:rPr>
        <w:t xml:space="preserve"> на 1 мл</w:t>
      </w:r>
      <w:r w:rsidRPr="00102F4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</w:tblGrid>
      <w:tr w:rsidR="005E1CC3" w:rsidRPr="00102F40" w:rsidTr="005E1CC3">
        <w:tc>
          <w:tcPr>
            <w:tcW w:w="4111" w:type="dxa"/>
            <w:vAlign w:val="center"/>
          </w:tcPr>
          <w:p w:rsidR="005E1CC3" w:rsidRPr="00102F40" w:rsidRDefault="005E1CC3" w:rsidP="00EF3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Действующее вещество:</w:t>
            </w:r>
          </w:p>
          <w:p w:rsidR="005E1CC3" w:rsidRPr="00102F40" w:rsidRDefault="005E1CC3" w:rsidP="00EF3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1CC3" w:rsidRPr="00102F40" w:rsidRDefault="005E1CC3" w:rsidP="00EF35F4">
            <w:pPr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CC3" w:rsidRPr="00102F40" w:rsidRDefault="005E1CC3" w:rsidP="00EF35F4">
            <w:pPr>
              <w:spacing w:after="0" w:line="360" w:lineRule="auto"/>
              <w:ind w:left="71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56743"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856743"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КИЕ </w:t>
            </w:r>
          </w:p>
        </w:tc>
      </w:tr>
      <w:tr w:rsidR="005E1CC3" w:rsidRPr="00102F40" w:rsidTr="005E1CC3">
        <w:tc>
          <w:tcPr>
            <w:tcW w:w="4111" w:type="dxa"/>
          </w:tcPr>
          <w:p w:rsidR="005E1CC3" w:rsidRPr="00102F40" w:rsidRDefault="005E1CC3" w:rsidP="00EF35F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Вспомогательные вещества:</w:t>
            </w:r>
          </w:p>
          <w:p w:rsidR="005E1CC3" w:rsidRPr="00102F40" w:rsidRDefault="005E1CC3" w:rsidP="00EF35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 </w:t>
            </w:r>
          </w:p>
        </w:tc>
        <w:tc>
          <w:tcPr>
            <w:tcW w:w="1559" w:type="dxa"/>
            <w:shd w:val="clear" w:color="auto" w:fill="auto"/>
          </w:tcPr>
          <w:p w:rsidR="005E1CC3" w:rsidRPr="00102F40" w:rsidRDefault="005E1CC3" w:rsidP="00EF35F4">
            <w:pPr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CC3" w:rsidRPr="00102F40" w:rsidRDefault="005E1CC3" w:rsidP="00EF35F4">
            <w:pPr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мг</w:t>
            </w:r>
          </w:p>
        </w:tc>
      </w:tr>
      <w:tr w:rsidR="005E1CC3" w:rsidRPr="00102F40" w:rsidTr="005E1CC3">
        <w:tc>
          <w:tcPr>
            <w:tcW w:w="4111" w:type="dxa"/>
            <w:vAlign w:val="center"/>
          </w:tcPr>
          <w:p w:rsidR="005E1CC3" w:rsidRPr="00102F40" w:rsidRDefault="005E1CC3" w:rsidP="00EF35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Бензиловый</w:t>
            </w:r>
            <w:proofErr w:type="spellEnd"/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 </w:t>
            </w:r>
          </w:p>
        </w:tc>
        <w:tc>
          <w:tcPr>
            <w:tcW w:w="1559" w:type="dxa"/>
            <w:shd w:val="clear" w:color="auto" w:fill="auto"/>
          </w:tcPr>
          <w:p w:rsidR="005E1CC3" w:rsidRPr="00102F40" w:rsidRDefault="005E1CC3" w:rsidP="00EF35F4">
            <w:pPr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мг</w:t>
            </w:r>
          </w:p>
        </w:tc>
      </w:tr>
      <w:tr w:rsidR="005E1CC3" w:rsidRPr="00102F40" w:rsidTr="005E1CC3">
        <w:tc>
          <w:tcPr>
            <w:tcW w:w="4111" w:type="dxa"/>
            <w:vAlign w:val="center"/>
          </w:tcPr>
          <w:p w:rsidR="005E1CC3" w:rsidRPr="00102F40" w:rsidRDefault="005E1CC3" w:rsidP="00EF35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для инъекций </w:t>
            </w:r>
          </w:p>
        </w:tc>
        <w:tc>
          <w:tcPr>
            <w:tcW w:w="1559" w:type="dxa"/>
            <w:shd w:val="clear" w:color="auto" w:fill="auto"/>
          </w:tcPr>
          <w:p w:rsidR="005E1CC3" w:rsidRPr="00102F40" w:rsidRDefault="005E1CC3" w:rsidP="00EF35F4">
            <w:pPr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мл</w:t>
            </w:r>
          </w:p>
        </w:tc>
      </w:tr>
    </w:tbl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5E1CC3" w:rsidRPr="00102F40">
        <w:rPr>
          <w:rFonts w:ascii="Times New Roman" w:hAnsi="Times New Roman" w:cs="Times New Roman"/>
          <w:sz w:val="24"/>
          <w:szCs w:val="24"/>
        </w:rPr>
        <w:t>прозрачная жидкость со слегка желтым или коричневато-желтым оттенком</w:t>
      </w:r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Фармакотерапевтическая группа: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8B6" w:rsidRPr="00102F40">
        <w:rPr>
          <w:rFonts w:ascii="Times New Roman" w:hAnsi="Times New Roman" w:cs="Times New Roman"/>
          <w:sz w:val="24"/>
          <w:szCs w:val="24"/>
        </w:rPr>
        <w:t>протеолиза</w:t>
      </w:r>
      <w:proofErr w:type="spellEnd"/>
      <w:r w:rsidR="003858B6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ингибитор.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Код АТХ:</w:t>
      </w:r>
      <w:r w:rsidRPr="00102F40">
        <w:rPr>
          <w:rFonts w:ascii="Times New Roman" w:hAnsi="Times New Roman" w:cs="Times New Roman"/>
          <w:sz w:val="24"/>
          <w:szCs w:val="24"/>
        </w:rPr>
        <w:t xml:space="preserve"> В02АВ01</w:t>
      </w:r>
    </w:p>
    <w:p w:rsidR="00B43C4F" w:rsidRPr="00102F40" w:rsidRDefault="00B43C4F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Фармакологическое действие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b/>
          <w:i/>
          <w:sz w:val="24"/>
          <w:szCs w:val="24"/>
        </w:rPr>
        <w:t>Фармакодинамика</w:t>
      </w:r>
      <w:proofErr w:type="spellEnd"/>
      <w:r w:rsidRPr="00102F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05D23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36838" w:rsidRPr="00102F40">
        <w:rPr>
          <w:rFonts w:ascii="Times New Roman" w:hAnsi="Times New Roman" w:cs="Times New Roman"/>
          <w:sz w:val="24"/>
          <w:szCs w:val="24"/>
        </w:rPr>
        <w:t xml:space="preserve">широкого спектра действия </w:t>
      </w:r>
      <w:r w:rsidRPr="00102F40">
        <w:rPr>
          <w:rFonts w:ascii="Times New Roman" w:hAnsi="Times New Roman" w:cs="Times New Roman"/>
          <w:sz w:val="24"/>
          <w:szCs w:val="24"/>
        </w:rPr>
        <w:t>ингибитором протеолитических ферментов,</w:t>
      </w:r>
      <w:r w:rsidR="0097201D" w:rsidRPr="00102F40"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антифибринолитическими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705D23" w:rsidRPr="00102F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05D23" w:rsidRPr="00102F40">
        <w:rPr>
          <w:rFonts w:ascii="Times New Roman" w:hAnsi="Times New Roman" w:cs="Times New Roman"/>
          <w:sz w:val="24"/>
          <w:szCs w:val="24"/>
        </w:rPr>
        <w:t>гемостатическими</w:t>
      </w:r>
      <w:proofErr w:type="spellEnd"/>
      <w:r w:rsidR="00705D2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свойствами. </w:t>
      </w:r>
    </w:p>
    <w:p w:rsidR="00763BB2" w:rsidRPr="00102F40" w:rsidRDefault="00763BB2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Образуя обратимые стереометрические комплексы </w:t>
      </w:r>
      <w:r w:rsidR="00F51432" w:rsidRPr="00102F40">
        <w:rPr>
          <w:rFonts w:ascii="Times New Roman" w:hAnsi="Times New Roman" w:cs="Times New Roman"/>
          <w:sz w:val="24"/>
          <w:szCs w:val="24"/>
        </w:rPr>
        <w:t>–</w:t>
      </w:r>
      <w:r w:rsidRPr="00102F40">
        <w:rPr>
          <w:rFonts w:ascii="Times New Roman" w:hAnsi="Times New Roman" w:cs="Times New Roman"/>
          <w:sz w:val="24"/>
          <w:szCs w:val="24"/>
        </w:rPr>
        <w:t xml:space="preserve"> ингибиторы</w:t>
      </w:r>
      <w:r w:rsidR="00F51432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ферментов,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536838" w:rsidRPr="00102F40">
        <w:rPr>
          <w:rFonts w:ascii="Times New Roman" w:hAnsi="Times New Roman" w:cs="Times New Roman"/>
          <w:sz w:val="24"/>
          <w:szCs w:val="24"/>
        </w:rPr>
        <w:t>снижает</w:t>
      </w:r>
      <w:r w:rsidRPr="00102F40">
        <w:rPr>
          <w:rFonts w:ascii="Times New Roman" w:hAnsi="Times New Roman" w:cs="Times New Roman"/>
          <w:sz w:val="24"/>
          <w:szCs w:val="24"/>
        </w:rPr>
        <w:t xml:space="preserve"> активность плазменного и тканевого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калликреина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, трипсина</w:t>
      </w:r>
      <w:r w:rsidR="00536838" w:rsidRPr="00102F40">
        <w:rPr>
          <w:rFonts w:ascii="Times New Roman" w:hAnsi="Times New Roman" w:cs="Times New Roman"/>
          <w:sz w:val="24"/>
          <w:szCs w:val="24"/>
        </w:rPr>
        <w:t xml:space="preserve"> 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плазмина, </w:t>
      </w:r>
      <w:r w:rsidR="00536838" w:rsidRPr="00102F40">
        <w:rPr>
          <w:rFonts w:ascii="Times New Roman" w:hAnsi="Times New Roman" w:cs="Times New Roman"/>
          <w:sz w:val="24"/>
          <w:szCs w:val="24"/>
        </w:rPr>
        <w:t>что обуславливает подавление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фибринолиз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 образовани</w:t>
      </w:r>
      <w:r w:rsidR="00536838" w:rsidRPr="00102F40">
        <w:rPr>
          <w:rFonts w:ascii="Times New Roman" w:hAnsi="Times New Roman" w:cs="Times New Roman"/>
          <w:sz w:val="24"/>
          <w:szCs w:val="24"/>
        </w:rPr>
        <w:t>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тромбина</w:t>
      </w:r>
      <w:r w:rsidR="00536838" w:rsidRPr="00102F40">
        <w:rPr>
          <w:rFonts w:ascii="Times New Roman" w:hAnsi="Times New Roman" w:cs="Times New Roman"/>
          <w:sz w:val="24"/>
          <w:szCs w:val="24"/>
        </w:rPr>
        <w:t>,</w:t>
      </w:r>
      <w:r w:rsidRPr="00102F40"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536838" w:rsidRPr="00102F40">
        <w:rPr>
          <w:rFonts w:ascii="Times New Roman" w:hAnsi="Times New Roman" w:cs="Times New Roman"/>
          <w:sz w:val="24"/>
          <w:szCs w:val="24"/>
        </w:rPr>
        <w:t xml:space="preserve">я тем самым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гемостатическое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действие при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коагулопатиях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D115E1" w:rsidRPr="00102F40" w:rsidRDefault="00763BB2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51236B" w:rsidRPr="00102F40">
        <w:rPr>
          <w:rFonts w:ascii="Times New Roman" w:hAnsi="Times New Roman" w:cs="Times New Roman"/>
          <w:sz w:val="24"/>
          <w:szCs w:val="24"/>
        </w:rPr>
        <w:t>ингибирует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контактную фазу активации свертывания, которая инициирует </w:t>
      </w:r>
      <w:r w:rsidR="00536838" w:rsidRPr="00102F40">
        <w:rPr>
          <w:rFonts w:ascii="Times New Roman" w:hAnsi="Times New Roman" w:cs="Times New Roman"/>
          <w:sz w:val="24"/>
          <w:szCs w:val="24"/>
        </w:rPr>
        <w:t>процесс свертывания крови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536838" w:rsidRPr="00102F40">
        <w:rPr>
          <w:rFonts w:ascii="Times New Roman" w:hAnsi="Times New Roman" w:cs="Times New Roman"/>
          <w:sz w:val="24"/>
          <w:szCs w:val="24"/>
        </w:rPr>
        <w:t>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одновременно актив</w:t>
      </w:r>
      <w:r w:rsidR="00536838" w:rsidRPr="00102F40">
        <w:rPr>
          <w:rFonts w:ascii="Times New Roman" w:hAnsi="Times New Roman" w:cs="Times New Roman"/>
          <w:sz w:val="24"/>
          <w:szCs w:val="24"/>
        </w:rPr>
        <w:t>ирует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фибриноли</w:t>
      </w:r>
      <w:r w:rsidR="00536838" w:rsidRPr="00102F40">
        <w:rPr>
          <w:rFonts w:ascii="Times New Roman" w:hAnsi="Times New Roman" w:cs="Times New Roman"/>
          <w:sz w:val="24"/>
          <w:szCs w:val="24"/>
        </w:rPr>
        <w:t>з</w:t>
      </w:r>
      <w:r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</w:t>
      </w:r>
      <w:r w:rsidR="0051236B" w:rsidRPr="00102F40">
        <w:rPr>
          <w:rFonts w:ascii="Times New Roman" w:hAnsi="Times New Roman" w:cs="Times New Roman"/>
          <w:sz w:val="24"/>
          <w:szCs w:val="24"/>
        </w:rPr>
        <w:t>При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51236B" w:rsidRPr="00102F40">
        <w:rPr>
          <w:rFonts w:ascii="Times New Roman" w:hAnsi="Times New Roman" w:cs="Times New Roman"/>
          <w:sz w:val="24"/>
          <w:szCs w:val="24"/>
        </w:rPr>
        <w:t>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аппарата искусственного кровообращения</w:t>
      </w:r>
      <w:r w:rsidR="00D115E1" w:rsidRPr="00102F40">
        <w:rPr>
          <w:rFonts w:ascii="Times New Roman" w:hAnsi="Times New Roman" w:cs="Times New Roman"/>
          <w:sz w:val="24"/>
          <w:szCs w:val="24"/>
        </w:rPr>
        <w:t xml:space="preserve"> (АИК)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D115E1" w:rsidRPr="00102F40">
        <w:rPr>
          <w:rFonts w:ascii="Times New Roman" w:hAnsi="Times New Roman" w:cs="Times New Roman"/>
          <w:sz w:val="24"/>
          <w:szCs w:val="24"/>
        </w:rPr>
        <w:t>часто отмечается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активации </w:t>
      </w:r>
      <w:r w:rsidR="00D115E1" w:rsidRPr="00102F40">
        <w:rPr>
          <w:rFonts w:ascii="Times New Roman" w:hAnsi="Times New Roman" w:cs="Times New Roman"/>
          <w:sz w:val="24"/>
          <w:szCs w:val="24"/>
        </w:rPr>
        <w:t>контактной фазы коагуляции из-за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D115E1" w:rsidRPr="00102F40">
        <w:rPr>
          <w:rFonts w:ascii="Times New Roman" w:hAnsi="Times New Roman" w:cs="Times New Roman"/>
          <w:sz w:val="24"/>
          <w:szCs w:val="24"/>
        </w:rPr>
        <w:t>а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крови с инородными поверхностями</w:t>
      </w:r>
      <w:r w:rsidR="00D115E1" w:rsidRPr="00102F40">
        <w:rPr>
          <w:rFonts w:ascii="Times New Roman" w:hAnsi="Times New Roman" w:cs="Times New Roman"/>
          <w:sz w:val="24"/>
          <w:szCs w:val="24"/>
        </w:rPr>
        <w:t>.</w:t>
      </w:r>
    </w:p>
    <w:p w:rsidR="00763BB2" w:rsidRPr="00102F40" w:rsidRDefault="00D115E1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lastRenderedPageBreak/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ослабляет </w:t>
      </w:r>
      <w:r w:rsidR="00763BB2" w:rsidRPr="00102F40">
        <w:rPr>
          <w:rFonts w:ascii="Times New Roman" w:hAnsi="Times New Roman" w:cs="Times New Roman"/>
          <w:sz w:val="24"/>
          <w:szCs w:val="24"/>
        </w:rPr>
        <w:t xml:space="preserve">системную воспалительную реакцию, возникающую при </w:t>
      </w:r>
      <w:r w:rsidRPr="00102F40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763BB2" w:rsidRPr="00102F40">
        <w:rPr>
          <w:rFonts w:ascii="Times New Roman" w:hAnsi="Times New Roman" w:cs="Times New Roman"/>
          <w:sz w:val="24"/>
          <w:szCs w:val="24"/>
        </w:rPr>
        <w:t>опера</w:t>
      </w:r>
      <w:r w:rsidRPr="00102F40">
        <w:rPr>
          <w:rFonts w:ascii="Times New Roman" w:hAnsi="Times New Roman" w:cs="Times New Roman"/>
          <w:sz w:val="24"/>
          <w:szCs w:val="24"/>
        </w:rPr>
        <w:t>тивных вмешательств с использованием АИК</w:t>
      </w:r>
      <w:r w:rsidR="00763BB2" w:rsidRPr="00102F40">
        <w:rPr>
          <w:rFonts w:ascii="Times New Roman" w:hAnsi="Times New Roman" w:cs="Times New Roman"/>
          <w:sz w:val="24"/>
          <w:szCs w:val="24"/>
        </w:rPr>
        <w:t xml:space="preserve">. Системная воспалительная реакция ведет к взаимосвязанной активации систем гемостаза, </w:t>
      </w:r>
      <w:proofErr w:type="spellStart"/>
      <w:r w:rsidR="00763BB2" w:rsidRPr="00102F40"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 w:rsidR="00763BB2" w:rsidRPr="00102F40">
        <w:rPr>
          <w:rFonts w:ascii="Times New Roman" w:hAnsi="Times New Roman" w:cs="Times New Roman"/>
          <w:sz w:val="24"/>
          <w:szCs w:val="24"/>
        </w:rPr>
        <w:t xml:space="preserve">, активации клеточного и гуморального ответа. </w:t>
      </w:r>
      <w:r w:rsidR="0074295B" w:rsidRPr="00102F40">
        <w:rPr>
          <w:rFonts w:ascii="Times New Roman" w:hAnsi="Times New Roman" w:cs="Times New Roman"/>
          <w:sz w:val="24"/>
          <w:szCs w:val="24"/>
        </w:rPr>
        <w:t xml:space="preserve">Блокада </w:t>
      </w:r>
      <w:proofErr w:type="spellStart"/>
      <w:r w:rsidR="0074295B" w:rsidRPr="00102F40">
        <w:rPr>
          <w:rFonts w:ascii="Times New Roman" w:hAnsi="Times New Roman" w:cs="Times New Roman"/>
          <w:sz w:val="24"/>
          <w:szCs w:val="24"/>
        </w:rPr>
        <w:t>калликреин-кининовой</w:t>
      </w:r>
      <w:proofErr w:type="spellEnd"/>
      <w:r w:rsidR="0074295B" w:rsidRPr="00102F40">
        <w:rPr>
          <w:rFonts w:ascii="Times New Roman" w:hAnsi="Times New Roman" w:cs="Times New Roman"/>
          <w:sz w:val="24"/>
          <w:szCs w:val="24"/>
        </w:rPr>
        <w:t xml:space="preserve"> системы позволяет использовать </w:t>
      </w:r>
      <w:proofErr w:type="spellStart"/>
      <w:r w:rsidR="0074295B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74295B" w:rsidRPr="00102F40">
        <w:rPr>
          <w:rFonts w:ascii="Times New Roman" w:hAnsi="Times New Roman" w:cs="Times New Roman"/>
          <w:sz w:val="24"/>
          <w:szCs w:val="24"/>
        </w:rPr>
        <w:t xml:space="preserve"> для лечения и профилактики шока различного генеза, при ангионевротическом отеке.</w:t>
      </w:r>
    </w:p>
    <w:p w:rsidR="00763BB2" w:rsidRPr="00102F40" w:rsidRDefault="00763BB2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ингибирует высвобождение воспалительных цитокинов и поддерживает гомеостаз гликопротеинов.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уменьшает потерю гликопротеинов (ГП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ГП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IIb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ГП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IIIа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) тромбоцитами и препятствует экспрессии противовоспалительных адгезивных гликопротеинов (С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IIb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) гранулоцитами.</w:t>
      </w:r>
    </w:p>
    <w:p w:rsidR="00763BB2" w:rsidRPr="00102F40" w:rsidRDefault="00763BB2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</w:t>
      </w:r>
      <w:r w:rsidR="00A029DB" w:rsidRPr="00102F40">
        <w:rPr>
          <w:rFonts w:ascii="Times New Roman" w:hAnsi="Times New Roman" w:cs="Times New Roman"/>
          <w:sz w:val="24"/>
          <w:szCs w:val="24"/>
        </w:rPr>
        <w:t>о время осуществления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A029DB" w:rsidRPr="00102F40">
        <w:rPr>
          <w:rFonts w:ascii="Times New Roman" w:hAnsi="Times New Roman" w:cs="Times New Roman"/>
          <w:sz w:val="24"/>
          <w:szCs w:val="24"/>
        </w:rPr>
        <w:t xml:space="preserve">хирургических вмешательств </w:t>
      </w:r>
      <w:r w:rsidRPr="00102F40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D115E1" w:rsidRPr="00102F40">
        <w:rPr>
          <w:rFonts w:ascii="Times New Roman" w:hAnsi="Times New Roman" w:cs="Times New Roman"/>
          <w:sz w:val="24"/>
          <w:szCs w:val="24"/>
        </w:rPr>
        <w:t>АИК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D115E1" w:rsidRPr="00102F40">
        <w:rPr>
          <w:rFonts w:ascii="Times New Roman" w:hAnsi="Times New Roman" w:cs="Times New Roman"/>
          <w:sz w:val="24"/>
          <w:szCs w:val="24"/>
        </w:rPr>
        <w:t>приводит</w:t>
      </w:r>
      <w:r w:rsidRPr="00102F40">
        <w:rPr>
          <w:rFonts w:ascii="Times New Roman" w:hAnsi="Times New Roman" w:cs="Times New Roman"/>
          <w:sz w:val="24"/>
          <w:szCs w:val="24"/>
        </w:rPr>
        <w:t xml:space="preserve"> уменьшении объема кровопотери и потребности в гемотрансфузи</w:t>
      </w:r>
      <w:r w:rsidR="00D115E1" w:rsidRPr="00102F40">
        <w:rPr>
          <w:rFonts w:ascii="Times New Roman" w:hAnsi="Times New Roman" w:cs="Times New Roman"/>
          <w:sz w:val="24"/>
          <w:szCs w:val="24"/>
        </w:rPr>
        <w:t>ях</w:t>
      </w:r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97201D" w:rsidRPr="00102F40" w:rsidRDefault="0097201D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Блокада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калликреин-кининовой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D115E1" w:rsidRPr="00102F40">
        <w:rPr>
          <w:rFonts w:ascii="Times New Roman" w:hAnsi="Times New Roman" w:cs="Times New Roman"/>
          <w:sz w:val="24"/>
          <w:szCs w:val="24"/>
        </w:rPr>
        <w:t xml:space="preserve">потенциально </w:t>
      </w:r>
      <w:r w:rsidRPr="00102F40">
        <w:rPr>
          <w:rFonts w:ascii="Times New Roman" w:hAnsi="Times New Roman" w:cs="Times New Roman"/>
          <w:sz w:val="24"/>
          <w:szCs w:val="24"/>
        </w:rPr>
        <w:t xml:space="preserve">позволяет использовать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для профилактики и лечения различных форм шока.</w:t>
      </w:r>
    </w:p>
    <w:p w:rsidR="0074295B" w:rsidRPr="00102F40" w:rsidRDefault="0074295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Установлено, что препарат эффективен при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коагулопатиях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при шоке различного генеза. Данные об эффективности препарата при остром и хроническом панкреатите чрезвычайно противоречивы. В ряде проведенных исследований с использованием принципов доказательной медицины терапевтический эффект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при панкреатитах доказан не был.</w:t>
      </w:r>
    </w:p>
    <w:p w:rsidR="00D115E1" w:rsidRPr="00102F40" w:rsidRDefault="0074295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выражается в различных единицах: КИЕ –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калликреин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инактивирующие единицы;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Ph.Eur.U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– трипсин инактивирующие единицы Европейской фармакопеи;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АтрЕ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антитрипсиновые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единицы; 1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Ph.Eur.U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 = 1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800 КИЕ; 1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АТрЕ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= 1,33 КИЕ.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b/>
          <w:i/>
          <w:sz w:val="24"/>
          <w:szCs w:val="24"/>
        </w:rPr>
        <w:t>Фармакокинетика</w:t>
      </w:r>
      <w:proofErr w:type="spellEnd"/>
      <w:r w:rsidRPr="00102F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F6E11" w:rsidRPr="00102F40" w:rsidRDefault="00D115E1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Изучение</w:t>
      </w:r>
      <w:r w:rsidR="002603DA" w:rsidRPr="00102F40">
        <w:rPr>
          <w:rFonts w:ascii="Times New Roman" w:hAnsi="Times New Roman" w:cs="Times New Roman"/>
          <w:sz w:val="24"/>
          <w:szCs w:val="24"/>
        </w:rPr>
        <w:t xml:space="preserve"> фармако</w:t>
      </w:r>
      <w:r w:rsidR="00B93944" w:rsidRPr="00102F40">
        <w:rPr>
          <w:rFonts w:ascii="Times New Roman" w:hAnsi="Times New Roman" w:cs="Times New Roman"/>
          <w:sz w:val="24"/>
          <w:szCs w:val="24"/>
        </w:rPr>
        <w:t>кинетических</w:t>
      </w:r>
      <w:r w:rsidR="002603DA" w:rsidRPr="00102F40">
        <w:rPr>
          <w:rFonts w:ascii="Times New Roman" w:hAnsi="Times New Roman" w:cs="Times New Roman"/>
          <w:sz w:val="24"/>
          <w:szCs w:val="24"/>
        </w:rPr>
        <w:t xml:space="preserve"> параметров </w:t>
      </w:r>
      <w:proofErr w:type="spellStart"/>
      <w:r w:rsidR="002603D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2603DA" w:rsidRPr="00102F40">
        <w:rPr>
          <w:rFonts w:ascii="Times New Roman" w:hAnsi="Times New Roman" w:cs="Times New Roman"/>
          <w:sz w:val="24"/>
          <w:szCs w:val="24"/>
        </w:rPr>
        <w:t xml:space="preserve"> у здоровых добровольцев, у пациентов с кардиологической патологией при применении </w:t>
      </w:r>
      <w:r w:rsidRPr="00102F40">
        <w:rPr>
          <w:rFonts w:ascii="Times New Roman" w:hAnsi="Times New Roman" w:cs="Times New Roman"/>
          <w:sz w:val="24"/>
          <w:szCs w:val="24"/>
        </w:rPr>
        <w:t xml:space="preserve">АИК </w:t>
      </w:r>
      <w:r w:rsidR="002603DA" w:rsidRPr="00102F40">
        <w:rPr>
          <w:rFonts w:ascii="Times New Roman" w:hAnsi="Times New Roman" w:cs="Times New Roman"/>
          <w:sz w:val="24"/>
          <w:szCs w:val="24"/>
        </w:rPr>
        <w:t xml:space="preserve">и у женщин при операции </w:t>
      </w:r>
      <w:proofErr w:type="spellStart"/>
      <w:r w:rsidR="002603DA" w:rsidRPr="00102F40">
        <w:rPr>
          <w:rFonts w:ascii="Times New Roman" w:hAnsi="Times New Roman" w:cs="Times New Roman"/>
          <w:sz w:val="24"/>
          <w:szCs w:val="24"/>
        </w:rPr>
        <w:t>гистерэктомии</w:t>
      </w:r>
      <w:proofErr w:type="spellEnd"/>
      <w:r w:rsidR="002603DA" w:rsidRPr="00102F40">
        <w:rPr>
          <w:rFonts w:ascii="Times New Roman" w:hAnsi="Times New Roman" w:cs="Times New Roman"/>
          <w:sz w:val="24"/>
          <w:szCs w:val="24"/>
        </w:rPr>
        <w:t xml:space="preserve">, </w:t>
      </w:r>
      <w:r w:rsidRPr="00102F40">
        <w:rPr>
          <w:rFonts w:ascii="Times New Roman" w:hAnsi="Times New Roman" w:cs="Times New Roman"/>
          <w:sz w:val="24"/>
          <w:szCs w:val="24"/>
        </w:rPr>
        <w:t>продемонстрировало</w:t>
      </w:r>
      <w:r w:rsidR="002603DA" w:rsidRPr="00102F40">
        <w:rPr>
          <w:rFonts w:ascii="Times New Roman" w:hAnsi="Times New Roman" w:cs="Times New Roman"/>
          <w:sz w:val="24"/>
          <w:szCs w:val="24"/>
        </w:rPr>
        <w:t xml:space="preserve"> линейн</w:t>
      </w:r>
      <w:r w:rsidRPr="00102F40">
        <w:rPr>
          <w:rFonts w:ascii="Times New Roman" w:hAnsi="Times New Roman" w:cs="Times New Roman"/>
          <w:sz w:val="24"/>
          <w:szCs w:val="24"/>
        </w:rPr>
        <w:t>ость</w:t>
      </w:r>
      <w:r w:rsidR="002603DA"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3DA" w:rsidRPr="00102F40">
        <w:rPr>
          <w:rFonts w:ascii="Times New Roman" w:hAnsi="Times New Roman" w:cs="Times New Roman"/>
          <w:sz w:val="24"/>
          <w:szCs w:val="24"/>
        </w:rPr>
        <w:t>фармакокинетик</w:t>
      </w:r>
      <w:r w:rsidRPr="00102F4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603DA" w:rsidRPr="00102F40">
        <w:rPr>
          <w:rFonts w:ascii="Times New Roman" w:hAnsi="Times New Roman" w:cs="Times New Roman"/>
          <w:sz w:val="24"/>
          <w:szCs w:val="24"/>
        </w:rPr>
        <w:t xml:space="preserve"> при введении доз от 50 тыс. до 2 млн КИЕ.</w:t>
      </w:r>
    </w:p>
    <w:p w:rsidR="00953A57" w:rsidRPr="00102F40" w:rsidRDefault="00953A57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Распределение</w:t>
      </w:r>
    </w:p>
    <w:p w:rsidR="00353713" w:rsidRPr="00102F40" w:rsidRDefault="00953A5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После внутривенного введения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быстро распределяется во внеклеточном пространстве (равновесный объем распределения составляет около 20 л), кратковременно накапливается в почках, и, в меньшей степени, в хрящевой ткани. </w:t>
      </w:r>
      <w:r w:rsidR="00353713" w:rsidRPr="00102F40">
        <w:rPr>
          <w:rFonts w:ascii="Times New Roman" w:hAnsi="Times New Roman" w:cs="Times New Roman"/>
          <w:sz w:val="24"/>
          <w:szCs w:val="24"/>
        </w:rPr>
        <w:t xml:space="preserve">Быстрое распределение </w:t>
      </w:r>
      <w:proofErr w:type="spellStart"/>
      <w:r w:rsidR="00353713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353713" w:rsidRPr="00102F40">
        <w:rPr>
          <w:rFonts w:ascii="Times New Roman" w:hAnsi="Times New Roman" w:cs="Times New Roman"/>
          <w:sz w:val="24"/>
          <w:szCs w:val="24"/>
        </w:rPr>
        <w:t xml:space="preserve"> приводит к значительному первоначальному снижению его плазменной </w:t>
      </w:r>
      <w:r w:rsidR="00353713" w:rsidRPr="00102F40">
        <w:rPr>
          <w:rFonts w:ascii="Times New Roman" w:hAnsi="Times New Roman" w:cs="Times New Roman"/>
          <w:sz w:val="24"/>
          <w:szCs w:val="24"/>
        </w:rPr>
        <w:lastRenderedPageBreak/>
        <w:t>концентрации и обуславливает наличие у него весьма короткого начального периода периодом полувыведения (</w:t>
      </w:r>
      <w:r w:rsidR="00353713" w:rsidRPr="00102F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53713" w:rsidRPr="00102F40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="0035371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F51432" w:rsidRPr="00102F40">
        <w:rPr>
          <w:rFonts w:ascii="Times New Roman" w:hAnsi="Times New Roman" w:cs="Times New Roman"/>
          <w:sz w:val="24"/>
          <w:szCs w:val="24"/>
        </w:rPr>
        <w:t>–</w:t>
      </w:r>
      <w:r w:rsidR="00353713" w:rsidRPr="00102F40">
        <w:rPr>
          <w:rFonts w:ascii="Times New Roman" w:hAnsi="Times New Roman" w:cs="Times New Roman"/>
          <w:sz w:val="24"/>
          <w:szCs w:val="24"/>
        </w:rPr>
        <w:t xml:space="preserve"> 0</w:t>
      </w:r>
      <w:r w:rsidR="00F51432" w:rsidRPr="00102F40">
        <w:rPr>
          <w:rFonts w:ascii="Times New Roman" w:hAnsi="Times New Roman" w:cs="Times New Roman"/>
          <w:sz w:val="24"/>
          <w:szCs w:val="24"/>
        </w:rPr>
        <w:t>,</w:t>
      </w:r>
      <w:r w:rsidR="00353713" w:rsidRPr="00102F40">
        <w:rPr>
          <w:rFonts w:ascii="Times New Roman" w:hAnsi="Times New Roman" w:cs="Times New Roman"/>
          <w:sz w:val="24"/>
          <w:szCs w:val="24"/>
        </w:rPr>
        <w:t>3-0</w:t>
      </w:r>
      <w:r w:rsidR="00F51432" w:rsidRPr="00102F40">
        <w:rPr>
          <w:rFonts w:ascii="Times New Roman" w:hAnsi="Times New Roman" w:cs="Times New Roman"/>
          <w:sz w:val="24"/>
          <w:szCs w:val="24"/>
        </w:rPr>
        <w:t>,</w:t>
      </w:r>
      <w:r w:rsidR="00353713" w:rsidRPr="00102F40">
        <w:rPr>
          <w:rFonts w:ascii="Times New Roman" w:hAnsi="Times New Roman" w:cs="Times New Roman"/>
          <w:sz w:val="24"/>
          <w:szCs w:val="24"/>
        </w:rPr>
        <w:t>7 ч).</w:t>
      </w:r>
    </w:p>
    <w:p w:rsidR="00953A57" w:rsidRPr="00102F40" w:rsidRDefault="00953A5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Средние равновесные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интраоперационные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концентрации препарата в плазме составляют 175-281 КИЕ/мл у больных, получающих лечение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апротинином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 ходе операции в следующем режиме: внутривенная нагрузочная доза 2 млн КИЕ, 2 млн КИЕ на первичный объем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, 500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КИЕ ежечасно в течение всего времени операции в </w:t>
      </w:r>
      <w:r w:rsidR="00353713" w:rsidRPr="00102F40">
        <w:rPr>
          <w:rFonts w:ascii="Times New Roman" w:hAnsi="Times New Roman" w:cs="Times New Roman"/>
          <w:sz w:val="24"/>
          <w:szCs w:val="24"/>
        </w:rPr>
        <w:t>виде</w:t>
      </w:r>
      <w:r w:rsidRPr="00102F40">
        <w:rPr>
          <w:rFonts w:ascii="Times New Roman" w:hAnsi="Times New Roman" w:cs="Times New Roman"/>
          <w:sz w:val="24"/>
          <w:szCs w:val="24"/>
        </w:rPr>
        <w:t xml:space="preserve"> непрерывной внутривенной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При использовании половинных доз средние равновесные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интраоперационные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концентрации препарата в плазме составляют </w:t>
      </w:r>
      <w:r w:rsidR="00F51432" w:rsidRPr="00102F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2F40">
        <w:rPr>
          <w:rFonts w:ascii="Times New Roman" w:hAnsi="Times New Roman" w:cs="Times New Roman"/>
          <w:sz w:val="24"/>
          <w:szCs w:val="24"/>
        </w:rPr>
        <w:t>110-164 КИЕ/мл.</w:t>
      </w:r>
    </w:p>
    <w:p w:rsidR="00953A57" w:rsidRPr="00102F40" w:rsidRDefault="0035371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Плацента практически непроницаема для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</w:t>
      </w:r>
      <w:r w:rsidR="00953A57" w:rsidRPr="00102F40">
        <w:rPr>
          <w:rFonts w:ascii="Times New Roman" w:hAnsi="Times New Roman" w:cs="Times New Roman"/>
          <w:sz w:val="24"/>
          <w:szCs w:val="24"/>
        </w:rPr>
        <w:t xml:space="preserve">практически не проникает </w:t>
      </w:r>
      <w:r w:rsidRPr="00102F40">
        <w:rPr>
          <w:rFonts w:ascii="Times New Roman" w:hAnsi="Times New Roman" w:cs="Times New Roman"/>
          <w:sz w:val="24"/>
          <w:szCs w:val="24"/>
        </w:rPr>
        <w:t>через гематоэнцефалический бартер</w:t>
      </w:r>
      <w:r w:rsidR="00953A57" w:rsidRPr="00102F40">
        <w:rPr>
          <w:rFonts w:ascii="Times New Roman" w:hAnsi="Times New Roman" w:cs="Times New Roman"/>
          <w:sz w:val="24"/>
          <w:szCs w:val="24"/>
        </w:rPr>
        <w:t>.</w:t>
      </w:r>
    </w:p>
    <w:p w:rsidR="00953A57" w:rsidRPr="00102F40" w:rsidRDefault="00953A57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Метаболизм и выведение</w:t>
      </w:r>
    </w:p>
    <w:p w:rsidR="00953A57" w:rsidRPr="00102F40" w:rsidRDefault="00953A5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метаболизируется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в почках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лизосомальными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ферментами до неактивных метаболитов (коротких пептидных цепей и аминокислот)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 и выводятся с мочой (25-40</w:t>
      </w:r>
      <w:r w:rsidR="00F51432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A817E9" w:rsidRPr="00102F40">
        <w:rPr>
          <w:rFonts w:ascii="Times New Roman" w:hAnsi="Times New Roman" w:cs="Times New Roman"/>
          <w:sz w:val="24"/>
          <w:szCs w:val="24"/>
        </w:rPr>
        <w:t>% в течение 48 ч</w:t>
      </w:r>
      <w:r w:rsidRPr="00102F40">
        <w:rPr>
          <w:rFonts w:ascii="Times New Roman" w:hAnsi="Times New Roman" w:cs="Times New Roman"/>
          <w:sz w:val="24"/>
          <w:szCs w:val="24"/>
        </w:rPr>
        <w:t xml:space="preserve">. Активный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выявляется в моче 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102F40">
        <w:rPr>
          <w:rFonts w:ascii="Times New Roman" w:hAnsi="Times New Roman" w:cs="Times New Roman"/>
          <w:sz w:val="24"/>
          <w:szCs w:val="24"/>
        </w:rPr>
        <w:t xml:space="preserve">в 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102F40">
        <w:rPr>
          <w:rFonts w:ascii="Times New Roman" w:hAnsi="Times New Roman" w:cs="Times New Roman"/>
          <w:sz w:val="24"/>
          <w:szCs w:val="24"/>
        </w:rPr>
        <w:t>небольшом количестве (менее 5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% от введенной дозы). 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Конечный </w:t>
      </w:r>
      <w:r w:rsidRPr="00102F40">
        <w:rPr>
          <w:rFonts w:ascii="Times New Roman" w:hAnsi="Times New Roman" w:cs="Times New Roman"/>
          <w:sz w:val="24"/>
          <w:szCs w:val="24"/>
        </w:rPr>
        <w:t>Т</w:t>
      </w:r>
      <w:r w:rsidRPr="00102F40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102F40">
        <w:rPr>
          <w:rFonts w:ascii="Times New Roman" w:hAnsi="Times New Roman" w:cs="Times New Roman"/>
          <w:sz w:val="24"/>
          <w:szCs w:val="24"/>
        </w:rPr>
        <w:t xml:space="preserve"> составляет 5-10 ч</w:t>
      </w:r>
      <w:r w:rsidR="00A817E9" w:rsidRPr="00102F40">
        <w:rPr>
          <w:rFonts w:ascii="Times New Roman" w:hAnsi="Times New Roman" w:cs="Times New Roman"/>
          <w:sz w:val="24"/>
          <w:szCs w:val="24"/>
        </w:rPr>
        <w:t>.</w:t>
      </w:r>
    </w:p>
    <w:p w:rsidR="00253E77" w:rsidRPr="00102F40" w:rsidRDefault="00253E77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Особые группы пациентов</w:t>
      </w:r>
    </w:p>
    <w:p w:rsidR="00046BDB" w:rsidRPr="00102F40" w:rsidRDefault="00A817E9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У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 пациентов с нарушением функции почек изменения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253E77" w:rsidRPr="00102F40">
        <w:rPr>
          <w:rFonts w:ascii="Times New Roman" w:hAnsi="Times New Roman" w:cs="Times New Roman"/>
          <w:sz w:val="24"/>
          <w:szCs w:val="24"/>
        </w:rPr>
        <w:t>ф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армакокинетических параметров </w:t>
      </w:r>
      <w:proofErr w:type="spellStart"/>
      <w:r w:rsidR="00046BDB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046BDB" w:rsidRPr="00102F40">
        <w:rPr>
          <w:rFonts w:ascii="Times New Roman" w:hAnsi="Times New Roman" w:cs="Times New Roman"/>
          <w:sz w:val="24"/>
          <w:szCs w:val="24"/>
        </w:rPr>
        <w:t xml:space="preserve"> не выявлены, коррекции режима дозирования не требуется.</w:t>
      </w:r>
      <w:r w:rsidR="00253E77" w:rsidRPr="00102F40">
        <w:rPr>
          <w:rFonts w:ascii="Times New Roman" w:hAnsi="Times New Roman" w:cs="Times New Roman"/>
          <w:sz w:val="24"/>
          <w:szCs w:val="24"/>
        </w:rPr>
        <w:t xml:space="preserve"> У пациентов с терминальной почечной недостаточностью </w:t>
      </w:r>
      <w:proofErr w:type="spellStart"/>
      <w:r w:rsidR="00253E77" w:rsidRPr="00102F4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253E77"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77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253E77" w:rsidRPr="00102F40">
        <w:rPr>
          <w:rFonts w:ascii="Times New Roman" w:hAnsi="Times New Roman" w:cs="Times New Roman"/>
          <w:sz w:val="24"/>
          <w:szCs w:val="24"/>
        </w:rPr>
        <w:t xml:space="preserve"> не изучалась.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:rsidR="000D0FA0" w:rsidRPr="00102F40" w:rsidRDefault="00F0481E" w:rsidP="000D0FA0">
      <w:pPr>
        <w:pStyle w:val="af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</w:t>
      </w:r>
      <w:r w:rsidR="00046BDB" w:rsidRPr="00102F40">
        <w:rPr>
          <w:rFonts w:ascii="Times New Roman" w:hAnsi="Times New Roman" w:cs="Times New Roman"/>
          <w:sz w:val="24"/>
          <w:szCs w:val="24"/>
        </w:rPr>
        <w:t>рофилактик</w:t>
      </w:r>
      <w:r w:rsidR="00253E77" w:rsidRPr="00102F40">
        <w:rPr>
          <w:rFonts w:ascii="Times New Roman" w:hAnsi="Times New Roman" w:cs="Times New Roman"/>
          <w:sz w:val="24"/>
          <w:szCs w:val="24"/>
        </w:rPr>
        <w:t>а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BDB" w:rsidRPr="00102F40">
        <w:rPr>
          <w:rFonts w:ascii="Times New Roman" w:hAnsi="Times New Roman" w:cs="Times New Roman"/>
          <w:sz w:val="24"/>
          <w:szCs w:val="24"/>
        </w:rPr>
        <w:t>интраоперационной</w:t>
      </w:r>
      <w:proofErr w:type="spellEnd"/>
      <w:r w:rsidR="00046BDB" w:rsidRPr="00102F40">
        <w:rPr>
          <w:rFonts w:ascii="Times New Roman" w:hAnsi="Times New Roman" w:cs="Times New Roman"/>
          <w:sz w:val="24"/>
          <w:szCs w:val="24"/>
        </w:rPr>
        <w:t xml:space="preserve"> кровопотери и уменьшения объема гемотрансфузии при проведении операций аортокоронарного шунтирования с использованием </w:t>
      </w:r>
      <w:r w:rsidR="005D1DFD" w:rsidRPr="00102F40">
        <w:rPr>
          <w:rFonts w:ascii="Times New Roman" w:hAnsi="Times New Roman" w:cs="Times New Roman"/>
          <w:sz w:val="24"/>
          <w:szCs w:val="24"/>
        </w:rPr>
        <w:t>АИК у взрослых пациентов;</w:t>
      </w:r>
    </w:p>
    <w:p w:rsidR="005D1DFD" w:rsidRPr="00102F40" w:rsidRDefault="005D1DFD" w:rsidP="000D0FA0">
      <w:pPr>
        <w:pStyle w:val="af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кровотечения, обусловленные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гиперфибринолитическими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нарушениями гемостаза, в том числе послеоперационные, посттравматические; до, после и во время родов; геморрагические осложнения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тромболитической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терапии.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Противопоказания</w:t>
      </w:r>
    </w:p>
    <w:p w:rsidR="000D0FA0" w:rsidRPr="00102F40" w:rsidRDefault="00C3386A" w:rsidP="008F0D2D">
      <w:pPr>
        <w:pStyle w:val="af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повышенная чувствительность к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апротинину</w:t>
      </w:r>
      <w:proofErr w:type="spellEnd"/>
      <w:r w:rsidR="0032204C" w:rsidRPr="00102F40">
        <w:rPr>
          <w:rFonts w:ascii="Times New Roman" w:hAnsi="Times New Roman" w:cs="Times New Roman"/>
          <w:sz w:val="24"/>
          <w:szCs w:val="24"/>
        </w:rPr>
        <w:t xml:space="preserve"> (в том числе выявлен</w:t>
      </w:r>
      <w:r w:rsidR="007416F9" w:rsidRPr="00102F40">
        <w:rPr>
          <w:rFonts w:ascii="Times New Roman" w:hAnsi="Times New Roman" w:cs="Times New Roman"/>
          <w:sz w:val="24"/>
          <w:szCs w:val="24"/>
        </w:rPr>
        <w:t>и</w:t>
      </w:r>
      <w:r w:rsidR="0032204C" w:rsidRPr="00102F40">
        <w:rPr>
          <w:rFonts w:ascii="Times New Roman" w:hAnsi="Times New Roman" w:cs="Times New Roman"/>
          <w:sz w:val="24"/>
          <w:szCs w:val="24"/>
        </w:rPr>
        <w:t>е антител</w:t>
      </w:r>
      <w:r w:rsidR="00A817E9" w:rsidRPr="00102F40">
        <w:rPr>
          <w:rFonts w:ascii="Times New Roman" w:hAnsi="Times New Roman" w:cs="Times New Roman"/>
          <w:sz w:val="24"/>
          <w:szCs w:val="24"/>
        </w:rPr>
        <w:t xml:space="preserve"> к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32204C" w:rsidRPr="00102F40">
        <w:rPr>
          <w:rFonts w:ascii="Times New Roman" w:hAnsi="Times New Roman" w:cs="Times New Roman"/>
          <w:sz w:val="24"/>
          <w:szCs w:val="24"/>
        </w:rPr>
        <w:t>белк</w:t>
      </w:r>
      <w:r w:rsidR="00A817E9" w:rsidRPr="00102F40">
        <w:rPr>
          <w:rFonts w:ascii="Times New Roman" w:hAnsi="Times New Roman" w:cs="Times New Roman"/>
          <w:sz w:val="24"/>
          <w:szCs w:val="24"/>
        </w:rPr>
        <w:t>ам</w:t>
      </w:r>
      <w:r w:rsidR="0032204C" w:rsidRPr="00102F40">
        <w:rPr>
          <w:rFonts w:ascii="Times New Roman" w:hAnsi="Times New Roman" w:cs="Times New Roman"/>
          <w:sz w:val="24"/>
          <w:szCs w:val="24"/>
        </w:rPr>
        <w:t xml:space="preserve"> крупного рогатого скота</w:t>
      </w:r>
      <w:r w:rsidR="007416F9" w:rsidRPr="00102F40">
        <w:rPr>
          <w:rFonts w:ascii="Times New Roman" w:hAnsi="Times New Roman" w:cs="Times New Roman"/>
          <w:sz w:val="24"/>
          <w:szCs w:val="24"/>
        </w:rPr>
        <w:t xml:space="preserve"> - </w:t>
      </w:r>
      <w:r w:rsidR="007416F9" w:rsidRPr="00102F40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="00A817E9" w:rsidRPr="00102F40">
        <w:rPr>
          <w:rFonts w:ascii="Times New Roman" w:hAnsi="Times New Roman" w:cs="Times New Roman"/>
          <w:sz w:val="24"/>
          <w:szCs w:val="24"/>
        </w:rPr>
        <w:t>)</w:t>
      </w:r>
      <w:r w:rsidR="0032204C" w:rsidRPr="00102F40">
        <w:rPr>
          <w:rFonts w:ascii="Times New Roman" w:hAnsi="Times New Roman" w:cs="Times New Roman"/>
          <w:sz w:val="24"/>
          <w:szCs w:val="24"/>
        </w:rPr>
        <w:t xml:space="preserve"> и </w:t>
      </w:r>
      <w:r w:rsidRPr="00102F40">
        <w:rPr>
          <w:rFonts w:ascii="Times New Roman" w:hAnsi="Times New Roman" w:cs="Times New Roman"/>
          <w:sz w:val="24"/>
          <w:szCs w:val="24"/>
        </w:rPr>
        <w:t>любому из вспомогательных веществ</w:t>
      </w:r>
      <w:r w:rsidR="0032204C" w:rsidRPr="00102F40">
        <w:rPr>
          <w:rFonts w:ascii="Times New Roman" w:hAnsi="Times New Roman" w:cs="Times New Roman"/>
          <w:sz w:val="24"/>
          <w:szCs w:val="24"/>
        </w:rPr>
        <w:t>;</w:t>
      </w:r>
    </w:p>
    <w:p w:rsidR="000D0FA0" w:rsidRPr="00102F40" w:rsidRDefault="007416F9" w:rsidP="00ED428E">
      <w:pPr>
        <w:pStyle w:val="af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гипокоагуляция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на фоне </w:t>
      </w:r>
      <w:r w:rsidR="00C3386A" w:rsidRPr="00102F40">
        <w:rPr>
          <w:rFonts w:ascii="Times New Roman" w:hAnsi="Times New Roman" w:cs="Times New Roman"/>
          <w:sz w:val="24"/>
          <w:szCs w:val="24"/>
        </w:rPr>
        <w:t>синдром</w:t>
      </w:r>
      <w:r w:rsidRPr="00102F40">
        <w:rPr>
          <w:rFonts w:ascii="Times New Roman" w:hAnsi="Times New Roman" w:cs="Times New Roman"/>
          <w:sz w:val="24"/>
          <w:szCs w:val="24"/>
        </w:rPr>
        <w:t>а</w:t>
      </w:r>
      <w:r w:rsidR="00C3386A" w:rsidRPr="00102F40">
        <w:rPr>
          <w:rFonts w:ascii="Times New Roman" w:hAnsi="Times New Roman" w:cs="Times New Roman"/>
          <w:sz w:val="24"/>
          <w:szCs w:val="24"/>
        </w:rPr>
        <w:t xml:space="preserve"> диссеми</w:t>
      </w:r>
      <w:r w:rsidRPr="00102F40">
        <w:rPr>
          <w:rFonts w:ascii="Times New Roman" w:hAnsi="Times New Roman" w:cs="Times New Roman"/>
          <w:sz w:val="24"/>
          <w:szCs w:val="24"/>
        </w:rPr>
        <w:t>н</w:t>
      </w:r>
      <w:r w:rsidR="00C3386A" w:rsidRPr="00102F40">
        <w:rPr>
          <w:rFonts w:ascii="Times New Roman" w:hAnsi="Times New Roman" w:cs="Times New Roman"/>
          <w:sz w:val="24"/>
          <w:szCs w:val="24"/>
        </w:rPr>
        <w:t>ированного внутрисосудистого свертывания</w:t>
      </w:r>
      <w:r w:rsidR="0032204C" w:rsidRPr="00102F40">
        <w:rPr>
          <w:rFonts w:ascii="Times New Roman" w:hAnsi="Times New Roman" w:cs="Times New Roman"/>
          <w:sz w:val="24"/>
          <w:szCs w:val="24"/>
        </w:rPr>
        <w:t>;</w:t>
      </w:r>
    </w:p>
    <w:p w:rsidR="000D0FA0" w:rsidRPr="00102F40" w:rsidRDefault="00C3386A" w:rsidP="009F03D8">
      <w:pPr>
        <w:pStyle w:val="af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беременность (I и </w:t>
      </w:r>
      <w:r w:rsidRPr="00102F4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02F40">
        <w:rPr>
          <w:rFonts w:ascii="Times New Roman" w:hAnsi="Times New Roman" w:cs="Times New Roman"/>
          <w:sz w:val="24"/>
          <w:szCs w:val="24"/>
        </w:rPr>
        <w:t xml:space="preserve"> триместр</w:t>
      </w:r>
      <w:r w:rsidR="000D0FA0" w:rsidRPr="00102F40">
        <w:rPr>
          <w:rFonts w:ascii="Times New Roman" w:hAnsi="Times New Roman" w:cs="Times New Roman"/>
          <w:sz w:val="24"/>
          <w:szCs w:val="24"/>
        </w:rPr>
        <w:t>)</w:t>
      </w:r>
      <w:r w:rsidR="0032204C" w:rsidRPr="00102F40">
        <w:rPr>
          <w:rFonts w:ascii="Times New Roman" w:hAnsi="Times New Roman" w:cs="Times New Roman"/>
          <w:sz w:val="24"/>
          <w:szCs w:val="24"/>
        </w:rPr>
        <w:t>;</w:t>
      </w:r>
    </w:p>
    <w:p w:rsidR="00C3386A" w:rsidRPr="00102F40" w:rsidRDefault="00C3386A" w:rsidP="009F03D8">
      <w:pPr>
        <w:pStyle w:val="af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возраст до 18 лет (эффективность и безопасность не установлены).</w:t>
      </w:r>
    </w:p>
    <w:p w:rsidR="00253E77" w:rsidRPr="00102F40" w:rsidRDefault="00253E77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61B" w:rsidRPr="00102F40" w:rsidRDefault="009D761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lastRenderedPageBreak/>
        <w:t>С осторожностью</w:t>
      </w:r>
    </w:p>
    <w:p w:rsidR="000D0FA0" w:rsidRPr="00102F40" w:rsidRDefault="000D0FA0" w:rsidP="0039256E">
      <w:pPr>
        <w:pStyle w:val="af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н</w:t>
      </w:r>
      <w:r w:rsidR="001D3BA3" w:rsidRPr="00102F40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F83825" w:rsidRPr="00102F40">
        <w:rPr>
          <w:rFonts w:ascii="Times New Roman" w:hAnsi="Times New Roman" w:cs="Times New Roman"/>
          <w:sz w:val="24"/>
          <w:szCs w:val="24"/>
        </w:rPr>
        <w:t>реакци</w:t>
      </w:r>
      <w:r w:rsidR="001D3BA3" w:rsidRPr="00102F40">
        <w:rPr>
          <w:rFonts w:ascii="Times New Roman" w:hAnsi="Times New Roman" w:cs="Times New Roman"/>
          <w:sz w:val="24"/>
          <w:szCs w:val="24"/>
        </w:rPr>
        <w:t>й</w:t>
      </w:r>
      <w:r w:rsidR="00F83825" w:rsidRPr="00102F40">
        <w:rPr>
          <w:rFonts w:ascii="Times New Roman" w:hAnsi="Times New Roman" w:cs="Times New Roman"/>
          <w:sz w:val="24"/>
          <w:szCs w:val="24"/>
        </w:rPr>
        <w:t xml:space="preserve"> гиперчувствительности в анамнезе (в </w:t>
      </w:r>
      <w:proofErr w:type="spellStart"/>
      <w:r w:rsidR="00F83825" w:rsidRPr="00102F4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83825" w:rsidRPr="00102F40">
        <w:rPr>
          <w:rFonts w:ascii="Times New Roman" w:hAnsi="Times New Roman" w:cs="Times New Roman"/>
          <w:sz w:val="24"/>
          <w:szCs w:val="24"/>
        </w:rPr>
        <w:t>. на белок крупного рогатого скота)</w:t>
      </w:r>
      <w:r w:rsidR="001D3BA3" w:rsidRPr="00102F40">
        <w:rPr>
          <w:rFonts w:ascii="Times New Roman" w:hAnsi="Times New Roman" w:cs="Times New Roman"/>
          <w:sz w:val="24"/>
          <w:szCs w:val="24"/>
        </w:rPr>
        <w:t>;</w:t>
      </w:r>
    </w:p>
    <w:p w:rsidR="000D0FA0" w:rsidRPr="00102F40" w:rsidRDefault="001D3BA3" w:rsidP="00531BEF">
      <w:pPr>
        <w:pStyle w:val="af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проведение терапии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Апротинином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в течение последних 12 мес</w:t>
      </w:r>
      <w:r w:rsidR="00F51432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>;</w:t>
      </w:r>
    </w:p>
    <w:p w:rsidR="000D0FA0" w:rsidRPr="00102F40" w:rsidRDefault="001D3BA3" w:rsidP="00FA2E86">
      <w:pPr>
        <w:pStyle w:val="af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сочетанное проведение операций аортокоронарного шунтирования и других хирургических вмешательств на сердце (соотношение риск/польза не установлено), проведение хирургических вмешательств на фоне</w:t>
      </w:r>
      <w:r w:rsidR="00F83825" w:rsidRPr="00102F40">
        <w:rPr>
          <w:rFonts w:ascii="Times New Roman" w:hAnsi="Times New Roman" w:cs="Times New Roman"/>
          <w:sz w:val="24"/>
          <w:szCs w:val="24"/>
        </w:rPr>
        <w:t xml:space="preserve"> глубокой гипотермии, остановк</w:t>
      </w:r>
      <w:r w:rsidRPr="00102F40">
        <w:rPr>
          <w:rFonts w:ascii="Times New Roman" w:hAnsi="Times New Roman" w:cs="Times New Roman"/>
          <w:sz w:val="24"/>
          <w:szCs w:val="24"/>
        </w:rPr>
        <w:t>и</w:t>
      </w:r>
      <w:r w:rsidR="00F83825" w:rsidRPr="00102F40">
        <w:rPr>
          <w:rFonts w:ascii="Times New Roman" w:hAnsi="Times New Roman" w:cs="Times New Roman"/>
          <w:sz w:val="24"/>
          <w:szCs w:val="24"/>
        </w:rPr>
        <w:t xml:space="preserve"> кровообращения</w:t>
      </w:r>
      <w:r w:rsidR="000D0FA0" w:rsidRPr="00102F40">
        <w:rPr>
          <w:rFonts w:ascii="Times New Roman" w:hAnsi="Times New Roman" w:cs="Times New Roman"/>
          <w:sz w:val="24"/>
          <w:szCs w:val="24"/>
        </w:rPr>
        <w:t>;</w:t>
      </w:r>
    </w:p>
    <w:p w:rsidR="00873241" w:rsidRPr="00102F40" w:rsidRDefault="000D0FA0" w:rsidP="00FA2E86">
      <w:pPr>
        <w:pStyle w:val="af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с</w:t>
      </w:r>
      <w:r w:rsidR="00873241" w:rsidRPr="00102F40">
        <w:rPr>
          <w:rFonts w:ascii="Times New Roman" w:hAnsi="Times New Roman" w:cs="Times New Roman"/>
          <w:sz w:val="24"/>
          <w:szCs w:val="24"/>
        </w:rPr>
        <w:t xml:space="preserve"> осторожностью следует применять препарат у пациентов, </w:t>
      </w:r>
      <w:r w:rsidR="001D3BA3" w:rsidRPr="00102F40">
        <w:rPr>
          <w:rFonts w:ascii="Times New Roman" w:hAnsi="Times New Roman" w:cs="Times New Roman"/>
          <w:sz w:val="24"/>
          <w:szCs w:val="24"/>
        </w:rPr>
        <w:t xml:space="preserve">получавших </w:t>
      </w:r>
      <w:proofErr w:type="spellStart"/>
      <w:r w:rsidR="00873241" w:rsidRPr="00102F40">
        <w:rPr>
          <w:rFonts w:ascii="Times New Roman" w:hAnsi="Times New Roman" w:cs="Times New Roman"/>
          <w:sz w:val="24"/>
          <w:szCs w:val="24"/>
        </w:rPr>
        <w:t>миорелаксанты</w:t>
      </w:r>
      <w:proofErr w:type="spellEnd"/>
      <w:r w:rsidR="00DB75D9" w:rsidRPr="00102F40">
        <w:rPr>
          <w:rFonts w:ascii="Times New Roman" w:hAnsi="Times New Roman" w:cs="Times New Roman"/>
          <w:sz w:val="24"/>
          <w:szCs w:val="24"/>
        </w:rPr>
        <w:t xml:space="preserve"> центрального действия </w:t>
      </w:r>
      <w:r w:rsidR="00873241" w:rsidRPr="00102F40">
        <w:rPr>
          <w:rFonts w:ascii="Times New Roman" w:hAnsi="Times New Roman" w:cs="Times New Roman"/>
          <w:sz w:val="24"/>
          <w:szCs w:val="24"/>
        </w:rPr>
        <w:t xml:space="preserve">в течение 2-3 дней перед </w:t>
      </w:r>
      <w:r w:rsidR="00715D09" w:rsidRPr="00102F40">
        <w:rPr>
          <w:rFonts w:ascii="Times New Roman" w:hAnsi="Times New Roman" w:cs="Times New Roman"/>
          <w:sz w:val="24"/>
          <w:szCs w:val="24"/>
        </w:rPr>
        <w:t xml:space="preserve">предполагаемым </w:t>
      </w:r>
      <w:r w:rsidR="00873241" w:rsidRPr="00102F40">
        <w:rPr>
          <w:rFonts w:ascii="Times New Roman" w:hAnsi="Times New Roman" w:cs="Times New Roman"/>
          <w:sz w:val="24"/>
          <w:szCs w:val="24"/>
        </w:rPr>
        <w:t xml:space="preserve">введением </w:t>
      </w:r>
      <w:proofErr w:type="spellStart"/>
      <w:r w:rsidR="00873241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873241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715D09" w:rsidRPr="00102F40">
        <w:rPr>
          <w:rFonts w:ascii="Times New Roman" w:hAnsi="Times New Roman" w:cs="Times New Roman"/>
          <w:sz w:val="24"/>
          <w:szCs w:val="24"/>
        </w:rPr>
        <w:t>(</w:t>
      </w:r>
      <w:r w:rsidR="00873241" w:rsidRPr="00102F40">
        <w:rPr>
          <w:rFonts w:ascii="Times New Roman" w:hAnsi="Times New Roman" w:cs="Times New Roman"/>
          <w:sz w:val="24"/>
          <w:szCs w:val="24"/>
        </w:rPr>
        <w:t>риск возникновения тромбоза мелких периферических сосудов</w:t>
      </w:r>
      <w:r w:rsidR="00715D09" w:rsidRPr="00102F40">
        <w:rPr>
          <w:rFonts w:ascii="Times New Roman" w:hAnsi="Times New Roman" w:cs="Times New Roman"/>
          <w:sz w:val="24"/>
          <w:szCs w:val="24"/>
        </w:rPr>
        <w:t>)</w:t>
      </w:r>
      <w:r w:rsidR="00873241" w:rsidRPr="00102F40">
        <w:rPr>
          <w:rFonts w:ascii="Times New Roman" w:hAnsi="Times New Roman" w:cs="Times New Roman"/>
          <w:sz w:val="24"/>
          <w:szCs w:val="24"/>
        </w:rPr>
        <w:t>.</w:t>
      </w:r>
    </w:p>
    <w:p w:rsidR="00046BDB" w:rsidRPr="00102F40" w:rsidRDefault="009D761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Применение при б</w:t>
      </w:r>
      <w:r w:rsidR="00373B34" w:rsidRPr="00102F40">
        <w:rPr>
          <w:rFonts w:ascii="Times New Roman" w:hAnsi="Times New Roman" w:cs="Times New Roman"/>
          <w:b/>
          <w:sz w:val="24"/>
          <w:szCs w:val="24"/>
        </w:rPr>
        <w:t>еременност</w:t>
      </w:r>
      <w:r w:rsidRPr="00102F40">
        <w:rPr>
          <w:rFonts w:ascii="Times New Roman" w:hAnsi="Times New Roman" w:cs="Times New Roman"/>
          <w:b/>
          <w:sz w:val="24"/>
          <w:szCs w:val="24"/>
        </w:rPr>
        <w:t>и</w:t>
      </w:r>
      <w:r w:rsidR="00715D09" w:rsidRPr="00102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B34" w:rsidRPr="00102F4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102F4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73B34" w:rsidRPr="00102F40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102F40">
        <w:rPr>
          <w:rFonts w:ascii="Times New Roman" w:hAnsi="Times New Roman" w:cs="Times New Roman"/>
          <w:b/>
          <w:sz w:val="24"/>
          <w:szCs w:val="24"/>
        </w:rPr>
        <w:t>грудного вскармливания</w:t>
      </w:r>
    </w:p>
    <w:p w:rsidR="005F4E7A" w:rsidRPr="00102F40" w:rsidRDefault="005F4E7A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Фертильность</w:t>
      </w:r>
    </w:p>
    <w:p w:rsidR="005F4E7A" w:rsidRPr="00102F40" w:rsidRDefault="00FD2FE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на фертильность не изучалось.</w:t>
      </w:r>
    </w:p>
    <w:p w:rsidR="005F4E7A" w:rsidRPr="00102F40" w:rsidRDefault="005F4E7A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:rsidR="009834E2" w:rsidRPr="00102F40" w:rsidRDefault="009834E2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Исследования по применению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у беременных женщин не проводились.</w:t>
      </w:r>
      <w:r w:rsidR="00FD2FEB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П</w:t>
      </w:r>
      <w:r w:rsidR="00FD2FEB" w:rsidRPr="00102F40">
        <w:rPr>
          <w:rFonts w:ascii="Times New Roman" w:hAnsi="Times New Roman" w:cs="Times New Roman"/>
          <w:sz w:val="24"/>
          <w:szCs w:val="24"/>
        </w:rPr>
        <w:t>оэтому п</w:t>
      </w:r>
      <w:r w:rsidRPr="00102F40">
        <w:rPr>
          <w:rFonts w:ascii="Times New Roman" w:hAnsi="Times New Roman" w:cs="Times New Roman"/>
          <w:sz w:val="24"/>
          <w:szCs w:val="24"/>
        </w:rPr>
        <w:t>рименение во время беременности возможно только в тех случаях, когда предполагаемая польза для матери превышает потенциальный риск для плода. При оценке соотношения польза/риск следует учитывать негативное влияние на плод тяжелых побочных реакций, возможных при применении препарата, таких как анафилактические реакции, остановка сердца и т.д., а также терапевтических мер, предпринимаемых для устранения этих реакций.</w:t>
      </w:r>
    </w:p>
    <w:p w:rsidR="005F4E7A" w:rsidRPr="00102F40" w:rsidRDefault="005F4E7A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Период грудного вскармливания</w:t>
      </w:r>
    </w:p>
    <w:p w:rsidR="0099487D" w:rsidRPr="00102F40" w:rsidRDefault="00523ECF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 период лактации не изучено. </w:t>
      </w:r>
      <w:r w:rsidR="0099487D" w:rsidRPr="00102F40">
        <w:rPr>
          <w:rFonts w:ascii="Times New Roman" w:hAnsi="Times New Roman" w:cs="Times New Roman"/>
          <w:sz w:val="24"/>
          <w:szCs w:val="24"/>
        </w:rPr>
        <w:t xml:space="preserve">Препарат является потенциально безопасным при попадании в организм ребенка с грудным молоком, поскольку </w:t>
      </w:r>
      <w:proofErr w:type="spellStart"/>
      <w:r w:rsidR="0099487D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99487D" w:rsidRPr="00102F40">
        <w:rPr>
          <w:rFonts w:ascii="Times New Roman" w:hAnsi="Times New Roman" w:cs="Times New Roman"/>
          <w:sz w:val="24"/>
          <w:szCs w:val="24"/>
        </w:rPr>
        <w:t xml:space="preserve"> не </w:t>
      </w:r>
      <w:r w:rsidR="00715D09" w:rsidRPr="00102F40">
        <w:rPr>
          <w:rFonts w:ascii="Times New Roman" w:hAnsi="Times New Roman" w:cs="Times New Roman"/>
          <w:sz w:val="24"/>
          <w:szCs w:val="24"/>
        </w:rPr>
        <w:t>всасывается из желудочно-кишечного тракта</w:t>
      </w:r>
      <w:r w:rsidR="0099487D" w:rsidRPr="00102F40">
        <w:rPr>
          <w:rFonts w:ascii="Times New Roman" w:hAnsi="Times New Roman" w:cs="Times New Roman"/>
          <w:sz w:val="24"/>
          <w:szCs w:val="24"/>
        </w:rPr>
        <w:t>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Способ применения и дозы</w:t>
      </w:r>
    </w:p>
    <w:p w:rsidR="00DA530A" w:rsidRPr="00102F40" w:rsidRDefault="00DA530A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В</w:t>
      </w:r>
      <w:r w:rsidR="00715D09" w:rsidRPr="00102F40">
        <w:rPr>
          <w:rFonts w:ascii="Times New Roman" w:hAnsi="Times New Roman" w:cs="Times New Roman"/>
          <w:sz w:val="24"/>
          <w:szCs w:val="24"/>
        </w:rPr>
        <w:t>нутривенно, медленно.</w:t>
      </w:r>
    </w:p>
    <w:p w:rsidR="004D6358" w:rsidRPr="00102F40" w:rsidRDefault="004D63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Для профилактики аллергических реакций возможно применение блокаторов</w:t>
      </w:r>
      <w:r w:rsidR="0015428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H</w:t>
      </w:r>
      <w:r w:rsidRPr="00102F4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02F40">
        <w:rPr>
          <w:rFonts w:ascii="Times New Roman" w:hAnsi="Times New Roman" w:cs="Times New Roman"/>
          <w:sz w:val="24"/>
          <w:szCs w:val="24"/>
        </w:rPr>
        <w:t xml:space="preserve">-гистаминовых рецепторов за 15 мин до введения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 В любом случае должна быть обеспечена возможность проведения стандартных неотложных мероприятий для лечения аллергической/анафилактической реакции.</w:t>
      </w:r>
    </w:p>
    <w:p w:rsidR="004D6358" w:rsidRPr="00102F40" w:rsidRDefault="004D63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До назначения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каждому пациенту рекомендуется провести тест на наличие к нему антител (</w:t>
      </w:r>
      <w:r w:rsidRPr="00102F40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102F40">
        <w:rPr>
          <w:rFonts w:ascii="Times New Roman" w:hAnsi="Times New Roman" w:cs="Times New Roman"/>
          <w:sz w:val="24"/>
          <w:szCs w:val="24"/>
        </w:rPr>
        <w:t xml:space="preserve"> - см. раздел “Особые указания”). При отсутствии аллергических реакций вводят терапевтическую дозу препарата.</w:t>
      </w:r>
    </w:p>
    <w:p w:rsidR="00994C79" w:rsidRPr="00102F40" w:rsidRDefault="00994C79" w:rsidP="00EF35F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использовать препарат, если в растворе содержатся нерастворенные частицы или он непрозрачен. </w:t>
      </w:r>
      <w:r w:rsidR="005161E1" w:rsidRPr="00102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н</w:t>
      </w:r>
      <w:r w:rsidR="005161E1" w:rsidRPr="00102F40">
        <w:rPr>
          <w:rFonts w:ascii="Times New Roman" w:hAnsi="Times New Roman" w:cs="Times New Roman"/>
          <w:sz w:val="24"/>
          <w:szCs w:val="24"/>
        </w:rPr>
        <w:t xml:space="preserve">еиспользованного </w:t>
      </w:r>
      <w:r w:rsidRPr="00102F40">
        <w:rPr>
          <w:rFonts w:ascii="Times New Roman" w:hAnsi="Times New Roman" w:cs="Times New Roman"/>
          <w:sz w:val="24"/>
          <w:szCs w:val="24"/>
        </w:rPr>
        <w:t xml:space="preserve">раствора непригодны </w:t>
      </w:r>
      <w:r w:rsidR="005161E1" w:rsidRPr="00102F40">
        <w:rPr>
          <w:rFonts w:ascii="Times New Roman" w:hAnsi="Times New Roman" w:cs="Times New Roman"/>
          <w:sz w:val="24"/>
          <w:szCs w:val="24"/>
        </w:rPr>
        <w:t>для последующего применения и подлежат уничтожению.</w:t>
      </w:r>
    </w:p>
    <w:p w:rsidR="00046BDB" w:rsidRPr="00102F40" w:rsidRDefault="00C10216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Раствор вводят внутривенно медленно (2-3 </w:t>
      </w:r>
      <w:proofErr w:type="gramStart"/>
      <w:r w:rsidRPr="00102F40">
        <w:rPr>
          <w:rFonts w:ascii="Times New Roman" w:hAnsi="Times New Roman" w:cs="Times New Roman"/>
          <w:sz w:val="24"/>
          <w:szCs w:val="24"/>
        </w:rPr>
        <w:t>мл</w:t>
      </w:r>
      <w:proofErr w:type="gramEnd"/>
      <w:r w:rsidRPr="00102F40">
        <w:rPr>
          <w:rFonts w:ascii="Times New Roman" w:hAnsi="Times New Roman" w:cs="Times New Roman"/>
          <w:sz w:val="24"/>
          <w:szCs w:val="24"/>
        </w:rPr>
        <w:t>/мин)</w:t>
      </w:r>
      <w:r w:rsidR="00907C48" w:rsidRPr="00102F40">
        <w:rPr>
          <w:rFonts w:ascii="Times New Roman" w:hAnsi="Times New Roman" w:cs="Times New Roman"/>
          <w:sz w:val="24"/>
          <w:szCs w:val="24"/>
        </w:rPr>
        <w:t>,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струйно</w:t>
      </w:r>
      <w:proofErr w:type="spellEnd"/>
      <w:r w:rsidR="00715D09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капельно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</w:t>
      </w:r>
      <w:r w:rsidR="00907C4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046BDB" w:rsidRPr="00102F40">
        <w:rPr>
          <w:rFonts w:ascii="Times New Roman" w:hAnsi="Times New Roman" w:cs="Times New Roman"/>
          <w:sz w:val="24"/>
          <w:szCs w:val="24"/>
        </w:rPr>
        <w:t>М</w:t>
      </w:r>
      <w:r w:rsidR="00AD0BF1" w:rsidRPr="00102F40">
        <w:rPr>
          <w:rFonts w:ascii="Times New Roman" w:hAnsi="Times New Roman" w:cs="Times New Roman"/>
          <w:sz w:val="24"/>
          <w:szCs w:val="24"/>
        </w:rPr>
        <w:t>аксимальная скорость введения 5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-10 мл/мин. При введении препарата пациент должен находиться в положении лежа на спине. Вводить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EB265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DA530A" w:rsidRPr="00102F40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046BDB" w:rsidRPr="00102F40">
        <w:rPr>
          <w:rFonts w:ascii="Times New Roman" w:hAnsi="Times New Roman" w:cs="Times New Roman"/>
          <w:sz w:val="24"/>
          <w:szCs w:val="24"/>
        </w:rPr>
        <w:t>через магистральные вены</w:t>
      </w:r>
      <w:r w:rsidR="00DA530A" w:rsidRPr="00102F40">
        <w:rPr>
          <w:rFonts w:ascii="Times New Roman" w:hAnsi="Times New Roman" w:cs="Times New Roman"/>
          <w:sz w:val="24"/>
          <w:szCs w:val="24"/>
        </w:rPr>
        <w:t xml:space="preserve"> и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 не использовать их для введения других препаратов.</w:t>
      </w:r>
    </w:p>
    <w:p w:rsidR="00907C48" w:rsidRPr="00102F40" w:rsidRDefault="00907C4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Рекомендуется следующий режим дозирования: начальная доза, составляющая 1-2 млн КИЕ, вводится в</w:t>
      </w:r>
      <w:r w:rsidR="00AD0BF1" w:rsidRPr="00102F40">
        <w:rPr>
          <w:rFonts w:ascii="Times New Roman" w:hAnsi="Times New Roman" w:cs="Times New Roman"/>
          <w:sz w:val="24"/>
          <w:szCs w:val="24"/>
        </w:rPr>
        <w:t>нутривенно</w:t>
      </w:r>
      <w:r w:rsidRPr="00102F40">
        <w:rPr>
          <w:rFonts w:ascii="Times New Roman" w:hAnsi="Times New Roman" w:cs="Times New Roman"/>
          <w:sz w:val="24"/>
          <w:szCs w:val="24"/>
        </w:rPr>
        <w:t xml:space="preserve"> медленно в течение 15-20 мин после начала анестезии и до проведения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стернотомии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 Следующие 1-2 млн КИЕ добавляют к первичному объему аппарата «сердце - легкие»</w:t>
      </w:r>
      <w:r w:rsidR="00715D09" w:rsidRPr="00102F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5D09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715D09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следует добавлять к первичному объему в период рециркуляции для обеспечения достаточного разведения препарата и предотвращения взаимодействия с гепарином</w:t>
      </w:r>
      <w:r w:rsidR="00715D09" w:rsidRPr="00102F40">
        <w:rPr>
          <w:rFonts w:ascii="Times New Roman" w:hAnsi="Times New Roman" w:cs="Times New Roman"/>
          <w:sz w:val="24"/>
          <w:szCs w:val="24"/>
        </w:rPr>
        <w:t>)</w:t>
      </w:r>
      <w:r w:rsidRPr="00102F40">
        <w:rPr>
          <w:rFonts w:ascii="Times New Roman" w:hAnsi="Times New Roman" w:cs="Times New Roman"/>
          <w:sz w:val="24"/>
          <w:szCs w:val="24"/>
        </w:rPr>
        <w:t xml:space="preserve">. После окончания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болюсного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введения устанавливают постоянную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инфузию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со скоростью введения 250-500 тыс. КИЕ</w:t>
      </w:r>
      <w:r w:rsidR="003538BC" w:rsidRPr="00102F40">
        <w:rPr>
          <w:rFonts w:ascii="Times New Roman" w:hAnsi="Times New Roman" w:cs="Times New Roman"/>
          <w:sz w:val="24"/>
          <w:szCs w:val="24"/>
        </w:rPr>
        <w:t>/ч</w:t>
      </w:r>
      <w:r w:rsidRPr="00102F40">
        <w:rPr>
          <w:rFonts w:ascii="Times New Roman" w:hAnsi="Times New Roman" w:cs="Times New Roman"/>
          <w:sz w:val="24"/>
          <w:szCs w:val="24"/>
        </w:rPr>
        <w:t xml:space="preserve"> до окончания операции. Общее количество введенного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не должно превышать 7 млн КИЕ.</w:t>
      </w:r>
    </w:p>
    <w:p w:rsidR="00907C48" w:rsidRPr="00102F40" w:rsidRDefault="00907C4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При нарушениях гемостаза до, после и во время родов начальная доза составляет</w:t>
      </w:r>
      <w:r w:rsidR="0015428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931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КИЕ, затем по 186</w:t>
      </w:r>
      <w:r w:rsidR="00856743" w:rsidRPr="00102F40">
        <w:rPr>
          <w:rFonts w:ascii="Times New Roman" w:hAnsi="Times New Roman" w:cs="Times New Roman"/>
          <w:sz w:val="24"/>
          <w:szCs w:val="24"/>
        </w:rPr>
        <w:t>,</w:t>
      </w:r>
      <w:r w:rsidR="0032167D" w:rsidRPr="00102F40">
        <w:rPr>
          <w:rFonts w:ascii="Times New Roman" w:hAnsi="Times New Roman" w:cs="Times New Roman"/>
          <w:sz w:val="24"/>
          <w:szCs w:val="24"/>
        </w:rPr>
        <w:t>2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КИЕ каждый час до остановки кровотечения.</w:t>
      </w:r>
    </w:p>
    <w:p w:rsidR="004C3C80" w:rsidRPr="00102F40" w:rsidRDefault="004C3C80" w:rsidP="00EF35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F40">
        <w:rPr>
          <w:rFonts w:ascii="Times New Roman" w:hAnsi="Times New Roman" w:cs="Times New Roman"/>
          <w:b/>
          <w:i/>
          <w:sz w:val="24"/>
          <w:szCs w:val="24"/>
        </w:rPr>
        <w:t>Особые группы пациентов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Паци</w:t>
      </w:r>
      <w:r w:rsidR="004C3C80" w:rsidRPr="00102F40">
        <w:rPr>
          <w:rFonts w:ascii="Times New Roman" w:hAnsi="Times New Roman" w:cs="Times New Roman"/>
          <w:i/>
          <w:sz w:val="24"/>
          <w:szCs w:val="24"/>
        </w:rPr>
        <w:t>енты с нарушением функции почек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Пациентам с нарушенной функцией почек не требуется проводит</w:t>
      </w:r>
      <w:r w:rsidR="00373B34" w:rsidRPr="00102F40">
        <w:rPr>
          <w:rFonts w:ascii="Times New Roman" w:hAnsi="Times New Roman" w:cs="Times New Roman"/>
          <w:sz w:val="24"/>
          <w:szCs w:val="24"/>
        </w:rPr>
        <w:t>ь коррекцию режима дозирования.</w:t>
      </w:r>
    </w:p>
    <w:p w:rsidR="00715D09" w:rsidRPr="00102F40" w:rsidRDefault="00715D09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Пациенты с нарушением функции п</w:t>
      </w:r>
      <w:r w:rsidR="00BF4B1A" w:rsidRPr="00102F40">
        <w:rPr>
          <w:rFonts w:ascii="Times New Roman" w:hAnsi="Times New Roman" w:cs="Times New Roman"/>
          <w:i/>
          <w:sz w:val="24"/>
          <w:szCs w:val="24"/>
        </w:rPr>
        <w:t>ечени</w:t>
      </w:r>
    </w:p>
    <w:p w:rsidR="00BF4B1A" w:rsidRPr="00102F40" w:rsidRDefault="00BF4B1A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Нет данных о необходимости коррекции режима дозирования у пациентов с печеночной недостаточностью.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Пациенты пожилого возраста</w:t>
      </w:r>
    </w:p>
    <w:p w:rsidR="00715D09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Изменение режима дозирования у пожилых пациентов не требуется.</w:t>
      </w:r>
    </w:p>
    <w:p w:rsidR="00641EE3" w:rsidRPr="00102F40" w:rsidRDefault="00715D09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Детский возраст.</w:t>
      </w:r>
    </w:p>
    <w:p w:rsidR="00715D09" w:rsidRPr="00102F40" w:rsidRDefault="00715D09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Безопасность и эффективность применения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у лиц моложе 18 лет не установлены.</w:t>
      </w:r>
    </w:p>
    <w:p w:rsidR="00046BDB" w:rsidRPr="00102F40" w:rsidRDefault="00373B34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Побочное действие</w:t>
      </w:r>
    </w:p>
    <w:p w:rsidR="00AD0BF1" w:rsidRPr="00102F40" w:rsidRDefault="00AD0BF1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2F40">
        <w:rPr>
          <w:rFonts w:ascii="Times New Roman" w:hAnsi="Times New Roman" w:cs="Times New Roman"/>
          <w:sz w:val="24"/>
          <w:szCs w:val="24"/>
          <w:u w:val="single"/>
        </w:rPr>
        <w:t>Аллергические/анафилактические реакции</w:t>
      </w:r>
    </w:p>
    <w:p w:rsidR="00626320" w:rsidRPr="00102F40" w:rsidRDefault="00626320" w:rsidP="00EF35F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У пациентов, получающих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впервые, развитие аллергических</w:t>
      </w:r>
      <w:r w:rsidR="00AD0BF1" w:rsidRPr="00102F40">
        <w:rPr>
          <w:rFonts w:ascii="Times New Roman" w:hAnsi="Times New Roman" w:cs="Times New Roman"/>
          <w:sz w:val="24"/>
          <w:szCs w:val="24"/>
        </w:rPr>
        <w:t>/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анафилактических реакций маловероятно. При повторном введении частота развития аллергических</w:t>
      </w:r>
      <w:r w:rsidR="00AD0BF1" w:rsidRPr="00102F40">
        <w:rPr>
          <w:rFonts w:ascii="Times New Roman" w:hAnsi="Times New Roman" w:cs="Times New Roman"/>
          <w:sz w:val="24"/>
          <w:szCs w:val="24"/>
        </w:rPr>
        <w:t>/</w:t>
      </w:r>
      <w:r w:rsidRPr="00102F40">
        <w:rPr>
          <w:rFonts w:ascii="Times New Roman" w:hAnsi="Times New Roman" w:cs="Times New Roman"/>
          <w:sz w:val="24"/>
          <w:szCs w:val="24"/>
        </w:rPr>
        <w:t>анафилактических реакций может возрастать до 5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%, особенно при повторном применении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в течение 6 мес</w:t>
      </w:r>
      <w:r w:rsidR="00AD0BF1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 xml:space="preserve"> При повторном применении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lastRenderedPageBreak/>
        <w:t>Апротинина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более, чем через 6 мес</w:t>
      </w:r>
      <w:r w:rsidR="00AD0BF1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 xml:space="preserve"> риск развития аллергических/анафилактических реакций составляет 0,9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%. Риск развития тяжелых аллергических/анафилактических реакций, возрастает, если в течение 6 мес</w:t>
      </w:r>
      <w:r w:rsidR="00A85693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применялся более чем два раза. Даже в том случае, если при повторном применении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не наблюдалось симптомов аллергических реакций, последующее применение препарата может привести</w:t>
      </w:r>
    </w:p>
    <w:p w:rsidR="00626320" w:rsidRPr="00102F40" w:rsidRDefault="00626320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к развитию тяжелых аллергических реакций или анафилактического шока, в редких случаях с летальным исходом.</w:t>
      </w:r>
      <w:r w:rsidR="00994C79" w:rsidRPr="00102F40">
        <w:rPr>
          <w:rFonts w:ascii="Times New Roman" w:hAnsi="Times New Roman" w:cs="Times New Roman"/>
          <w:sz w:val="24"/>
          <w:szCs w:val="24"/>
        </w:rPr>
        <w:t xml:space="preserve"> Также имеются сообщения о случаях развития анафилактического шока при повторном введении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="00FB50FA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994C79" w:rsidRPr="00102F40">
        <w:rPr>
          <w:rFonts w:ascii="Times New Roman" w:hAnsi="Times New Roman" w:cs="Times New Roman"/>
          <w:sz w:val="24"/>
          <w:szCs w:val="24"/>
        </w:rPr>
        <w:t>более чем через 12 мес</w:t>
      </w:r>
      <w:r w:rsidR="00A85693" w:rsidRPr="00102F40">
        <w:rPr>
          <w:rFonts w:ascii="Times New Roman" w:hAnsi="Times New Roman" w:cs="Times New Roman"/>
          <w:sz w:val="24"/>
          <w:szCs w:val="24"/>
        </w:rPr>
        <w:t>.</w:t>
      </w:r>
      <w:r w:rsidR="00994C79" w:rsidRPr="00102F40">
        <w:rPr>
          <w:rFonts w:ascii="Times New Roman" w:hAnsi="Times New Roman" w:cs="Times New Roman"/>
          <w:sz w:val="24"/>
          <w:szCs w:val="24"/>
        </w:rPr>
        <w:t xml:space="preserve"> после первого введения.</w:t>
      </w:r>
    </w:p>
    <w:p w:rsidR="00626320" w:rsidRPr="00102F40" w:rsidRDefault="00626320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Симптомы аллергических/анафилактических реакций</w:t>
      </w:r>
      <w:r w:rsidR="00A85693" w:rsidRPr="00102F40">
        <w:rPr>
          <w:rFonts w:ascii="Times New Roman" w:hAnsi="Times New Roman" w:cs="Times New Roman"/>
          <w:sz w:val="24"/>
          <w:szCs w:val="24"/>
        </w:rPr>
        <w:t>:</w:t>
      </w:r>
    </w:p>
    <w:p w:rsidR="00626320" w:rsidRPr="00102F40" w:rsidRDefault="003D2B6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нарушения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 xml:space="preserve">со стороны </w:t>
      </w:r>
      <w:r w:rsidR="0075508C" w:rsidRPr="00102F40">
        <w:rPr>
          <w:rFonts w:ascii="Times New Roman" w:hAnsi="Times New Roman" w:cs="Times New Roman"/>
          <w:i/>
          <w:sz w:val="24"/>
          <w:szCs w:val="24"/>
        </w:rPr>
        <w:t>сердца и сосудов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>:</w:t>
      </w:r>
      <w:r w:rsidR="00626320" w:rsidRPr="00102F40">
        <w:rPr>
          <w:rFonts w:ascii="Times New Roman" w:hAnsi="Times New Roman" w:cs="Times New Roman"/>
          <w:sz w:val="24"/>
          <w:szCs w:val="24"/>
        </w:rPr>
        <w:t xml:space="preserve"> гипотензия;</w:t>
      </w:r>
    </w:p>
    <w:p w:rsidR="00626320" w:rsidRPr="00102F40" w:rsidRDefault="003D2B6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нарушения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 xml:space="preserve">со стороны </w:t>
      </w:r>
      <w:r w:rsidR="0075508C" w:rsidRPr="00102F40">
        <w:rPr>
          <w:rFonts w:ascii="Times New Roman" w:hAnsi="Times New Roman" w:cs="Times New Roman"/>
          <w:i/>
          <w:sz w:val="24"/>
          <w:szCs w:val="24"/>
        </w:rPr>
        <w:t>желудочно-кишечного тракта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>:</w:t>
      </w:r>
      <w:r w:rsidR="00626320" w:rsidRPr="00102F40">
        <w:rPr>
          <w:rFonts w:ascii="Times New Roman" w:hAnsi="Times New Roman" w:cs="Times New Roman"/>
          <w:sz w:val="24"/>
          <w:szCs w:val="24"/>
        </w:rPr>
        <w:t xml:space="preserve"> тошнота;</w:t>
      </w:r>
    </w:p>
    <w:p w:rsidR="00626320" w:rsidRPr="00102F40" w:rsidRDefault="003D2B6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нарушения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 xml:space="preserve">со стороны 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>дыхательной системы</w:t>
      </w:r>
      <w:r w:rsidR="0075508C" w:rsidRPr="00102F40">
        <w:rPr>
          <w:rFonts w:ascii="Times New Roman" w:hAnsi="Times New Roman" w:cs="Times New Roman"/>
          <w:i/>
          <w:sz w:val="24"/>
          <w:szCs w:val="24"/>
        </w:rPr>
        <w:t>, органов грудной клетки и средостения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>:</w:t>
      </w:r>
      <w:r w:rsidR="00626320" w:rsidRPr="00102F40">
        <w:rPr>
          <w:rFonts w:ascii="Times New Roman" w:hAnsi="Times New Roman" w:cs="Times New Roman"/>
          <w:sz w:val="24"/>
          <w:szCs w:val="24"/>
        </w:rPr>
        <w:t xml:space="preserve"> астма (</w:t>
      </w:r>
      <w:proofErr w:type="spellStart"/>
      <w:r w:rsidR="00626320" w:rsidRPr="00102F40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="00626320" w:rsidRPr="00102F40">
        <w:rPr>
          <w:rFonts w:ascii="Times New Roman" w:hAnsi="Times New Roman" w:cs="Times New Roman"/>
          <w:sz w:val="24"/>
          <w:szCs w:val="24"/>
        </w:rPr>
        <w:t>);</w:t>
      </w:r>
    </w:p>
    <w:p w:rsidR="00626320" w:rsidRPr="00102F40" w:rsidRDefault="003D2B6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нарушения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 xml:space="preserve">со стороны 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 xml:space="preserve">кожи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>и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508C" w:rsidRPr="00102F40">
        <w:rPr>
          <w:rFonts w:ascii="Times New Roman" w:hAnsi="Times New Roman" w:cs="Times New Roman"/>
          <w:i/>
          <w:sz w:val="24"/>
          <w:szCs w:val="24"/>
        </w:rPr>
        <w:t>подкожных тканей</w:t>
      </w:r>
      <w:r w:rsidR="00626320" w:rsidRPr="00102F40">
        <w:rPr>
          <w:rFonts w:ascii="Times New Roman" w:hAnsi="Times New Roman" w:cs="Times New Roman"/>
          <w:i/>
          <w:sz w:val="24"/>
          <w:szCs w:val="24"/>
        </w:rPr>
        <w:t>:</w:t>
      </w:r>
      <w:r w:rsidR="00626320" w:rsidRPr="00102F40">
        <w:rPr>
          <w:rFonts w:ascii="Times New Roman" w:hAnsi="Times New Roman" w:cs="Times New Roman"/>
          <w:sz w:val="24"/>
          <w:szCs w:val="24"/>
        </w:rPr>
        <w:t xml:space="preserve"> зуд, крапивница, сыпь.</w:t>
      </w:r>
    </w:p>
    <w:p w:rsidR="00DA24A6" w:rsidRPr="00102F40" w:rsidRDefault="003D2B6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нарушения </w:t>
      </w:r>
      <w:r w:rsidR="00A85693" w:rsidRPr="00102F40">
        <w:rPr>
          <w:rFonts w:ascii="Times New Roman" w:hAnsi="Times New Roman" w:cs="Times New Roman"/>
          <w:i/>
          <w:sz w:val="24"/>
          <w:szCs w:val="24"/>
        </w:rPr>
        <w:t xml:space="preserve">со стороны </w:t>
      </w:r>
      <w:r w:rsidR="00DA24A6" w:rsidRPr="00102F40">
        <w:rPr>
          <w:rFonts w:ascii="Times New Roman" w:hAnsi="Times New Roman" w:cs="Times New Roman"/>
          <w:i/>
          <w:sz w:val="24"/>
          <w:szCs w:val="24"/>
        </w:rPr>
        <w:t>психики:</w:t>
      </w:r>
      <w:r w:rsidR="00DA24A6" w:rsidRPr="00102F40">
        <w:rPr>
          <w:rFonts w:ascii="Times New Roman" w:hAnsi="Times New Roman" w:cs="Times New Roman"/>
          <w:sz w:val="24"/>
          <w:szCs w:val="24"/>
        </w:rPr>
        <w:t xml:space="preserve"> психотические реакции, галлюцинации, спутанность сознания (частота неизвестна).</w:t>
      </w:r>
    </w:p>
    <w:p w:rsidR="00626320" w:rsidRPr="00102F40" w:rsidRDefault="00626320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В случае развития реакций гиперчувствительности при применении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следует немедленно прекратить введение препарата и обеспечить проведение стандартных неотложных мероприятий —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терапию, введение адреналина/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эпинефрина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4B1A" w:rsidRPr="00102F40">
        <w:rPr>
          <w:rFonts w:ascii="Times New Roman" w:hAnsi="Times New Roman" w:cs="Times New Roman"/>
          <w:sz w:val="24"/>
          <w:szCs w:val="24"/>
        </w:rPr>
        <w:t>глюко</w:t>
      </w:r>
      <w:r w:rsidRPr="00102F40">
        <w:rPr>
          <w:rFonts w:ascii="Times New Roman" w:hAnsi="Times New Roman" w:cs="Times New Roman"/>
          <w:sz w:val="24"/>
          <w:szCs w:val="24"/>
        </w:rPr>
        <w:t>кортикостероидов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A85693" w:rsidRPr="00102F40" w:rsidRDefault="00A8569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2F40">
        <w:rPr>
          <w:rFonts w:ascii="Times New Roman" w:hAnsi="Times New Roman" w:cs="Times New Roman"/>
          <w:sz w:val="24"/>
          <w:szCs w:val="24"/>
          <w:u w:val="single"/>
        </w:rPr>
        <w:t xml:space="preserve">Данные о побочных эффектах </w:t>
      </w:r>
      <w:proofErr w:type="spellStart"/>
      <w:r w:rsidRPr="00102F40">
        <w:rPr>
          <w:rFonts w:ascii="Times New Roman" w:hAnsi="Times New Roman" w:cs="Times New Roman"/>
          <w:sz w:val="24"/>
          <w:szCs w:val="24"/>
          <w:u w:val="single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85693" w:rsidRPr="00102F40" w:rsidRDefault="00A85693" w:rsidP="00A85693">
      <w:pPr>
        <w:pStyle w:val="af0"/>
        <w:spacing w:after="0" w:line="360" w:lineRule="auto"/>
        <w:jc w:val="both"/>
        <w:rPr>
          <w:rFonts w:eastAsia="Calibri"/>
        </w:rPr>
      </w:pPr>
      <w:r w:rsidRPr="00102F40">
        <w:rPr>
          <w:rFonts w:eastAsia="Times New Roman"/>
          <w:iCs/>
          <w:lang w:eastAsia="ru-RU"/>
        </w:rPr>
        <w:t xml:space="preserve">Частота развития побочных эффектов после применения препарата классифицирована согласно рекомендациям ВОЗ: </w:t>
      </w:r>
      <w:r w:rsidRPr="00102F40">
        <w:rPr>
          <w:rFonts w:eastAsia="Calibri"/>
        </w:rPr>
        <w:t>очень част</w:t>
      </w:r>
      <w:r w:rsidR="00176BF7" w:rsidRPr="00102F40">
        <w:rPr>
          <w:rFonts w:eastAsia="Calibri"/>
        </w:rPr>
        <w:t>ые</w:t>
      </w:r>
      <w:r w:rsidRPr="00102F40">
        <w:rPr>
          <w:rFonts w:eastAsia="Calibri"/>
        </w:rPr>
        <w:t xml:space="preserve"> (≥1/10), част</w:t>
      </w:r>
      <w:r w:rsidR="00176BF7" w:rsidRPr="00102F40">
        <w:rPr>
          <w:rFonts w:eastAsia="Calibri"/>
        </w:rPr>
        <w:t>ые</w:t>
      </w:r>
      <w:r w:rsidRPr="00102F40">
        <w:rPr>
          <w:rFonts w:eastAsia="Calibri"/>
        </w:rPr>
        <w:t xml:space="preserve"> (≥1/100 и &lt;1/10), нечаст</w:t>
      </w:r>
      <w:r w:rsidR="00176BF7" w:rsidRPr="00102F40">
        <w:rPr>
          <w:rFonts w:eastAsia="Calibri"/>
        </w:rPr>
        <w:t>ые</w:t>
      </w:r>
      <w:r w:rsidRPr="00102F40">
        <w:rPr>
          <w:rFonts w:eastAsia="Calibri"/>
        </w:rPr>
        <w:t xml:space="preserve"> (≥1/1000 и &lt;1/100), редк</w:t>
      </w:r>
      <w:r w:rsidR="00176BF7" w:rsidRPr="00102F40">
        <w:rPr>
          <w:rFonts w:eastAsia="Calibri"/>
        </w:rPr>
        <w:t>ие</w:t>
      </w:r>
      <w:r w:rsidRPr="00102F40">
        <w:rPr>
          <w:rFonts w:eastAsia="Calibri"/>
        </w:rPr>
        <w:t xml:space="preserve"> (≥1/10000 и &lt;1/1000), очень редк</w:t>
      </w:r>
      <w:r w:rsidR="00176BF7" w:rsidRPr="00102F40">
        <w:rPr>
          <w:rFonts w:eastAsia="Calibri"/>
        </w:rPr>
        <w:t>ие</w:t>
      </w:r>
      <w:r w:rsidRPr="00102F40">
        <w:rPr>
          <w:rFonts w:eastAsia="Calibri"/>
        </w:rPr>
        <w:t xml:space="preserve"> (&lt;1/10000), частота неизвестна (определить частоту встречаемости по имеющимся данным не представляется возможным).</w:t>
      </w:r>
    </w:p>
    <w:p w:rsidR="00373F5E" w:rsidRPr="00102F40" w:rsidRDefault="00176BF7" w:rsidP="00A85693">
      <w:pPr>
        <w:pStyle w:val="af0"/>
        <w:spacing w:after="0" w:line="360" w:lineRule="auto"/>
        <w:jc w:val="both"/>
      </w:pPr>
      <w:r w:rsidRPr="00102F40">
        <w:rPr>
          <w:rFonts w:eastAsia="Calibri"/>
          <w:i/>
        </w:rPr>
        <w:t>Нарушения со стороны крови и лимфатической системы:</w:t>
      </w:r>
      <w:r w:rsidRPr="00102F40">
        <w:rPr>
          <w:rFonts w:eastAsia="Calibri"/>
        </w:rPr>
        <w:t xml:space="preserve"> очень редкие – </w:t>
      </w:r>
      <w:r w:rsidRPr="00102F40">
        <w:t xml:space="preserve">синдром диссеминированного внутрисосудистого свертывания, </w:t>
      </w:r>
      <w:proofErr w:type="spellStart"/>
      <w:r w:rsidRPr="00102F40">
        <w:t>коагулопатии</w:t>
      </w:r>
      <w:proofErr w:type="spellEnd"/>
      <w:r w:rsidRPr="00102F40">
        <w:t>.</w:t>
      </w:r>
    </w:p>
    <w:p w:rsidR="00176BF7" w:rsidRPr="00102F40" w:rsidRDefault="00176BF7" w:rsidP="00A85693">
      <w:pPr>
        <w:pStyle w:val="af0"/>
        <w:spacing w:after="0" w:line="360" w:lineRule="auto"/>
        <w:jc w:val="both"/>
      </w:pPr>
      <w:r w:rsidRPr="00102F40">
        <w:rPr>
          <w:i/>
        </w:rPr>
        <w:t xml:space="preserve">Нарушения со стороны иммунной системы: </w:t>
      </w:r>
      <w:r w:rsidRPr="00102F40">
        <w:t xml:space="preserve">редкие – аллергические, анафилактические и </w:t>
      </w:r>
      <w:proofErr w:type="spellStart"/>
      <w:r w:rsidRPr="00102F40">
        <w:t>анафилактоидные</w:t>
      </w:r>
      <w:proofErr w:type="spellEnd"/>
      <w:r w:rsidRPr="00102F40">
        <w:t xml:space="preserve"> реакции; </w:t>
      </w:r>
      <w:r w:rsidR="00AE63FF" w:rsidRPr="00102F40">
        <w:t>очень редкие – анафилактический шок (потенциально опасный для жизни).</w:t>
      </w:r>
    </w:p>
    <w:p w:rsidR="00AE63FF" w:rsidRPr="00102F40" w:rsidRDefault="00AE63FF" w:rsidP="00A85693">
      <w:pPr>
        <w:pStyle w:val="af0"/>
        <w:spacing w:after="0" w:line="360" w:lineRule="auto"/>
        <w:jc w:val="both"/>
      </w:pPr>
      <w:r w:rsidRPr="00102F40">
        <w:rPr>
          <w:i/>
        </w:rPr>
        <w:t xml:space="preserve">Нарушения со стороны сердца и сосудов: </w:t>
      </w:r>
      <w:r w:rsidRPr="00102F40">
        <w:t>нечастые – тромбоз/окклюзия коронарных артерий, инфаркт миокарда, перикардиальный выпот, тромбозы; редкие – артериальный тромбоз (с возможной манифестацией нарушения функции жизненно важных органов (почки, легкие, головной мозг); очень редкие – тромбоэмболия легочной артерии.</w:t>
      </w:r>
    </w:p>
    <w:p w:rsidR="00AE63FF" w:rsidRPr="00102F40" w:rsidRDefault="000661D4" w:rsidP="00A85693">
      <w:pPr>
        <w:pStyle w:val="af0"/>
        <w:spacing w:after="0" w:line="360" w:lineRule="auto"/>
        <w:jc w:val="both"/>
      </w:pPr>
      <w:r w:rsidRPr="00102F40">
        <w:rPr>
          <w:rFonts w:eastAsia="Calibri"/>
          <w:i/>
        </w:rPr>
        <w:lastRenderedPageBreak/>
        <w:t xml:space="preserve">Нарушения со стороны почек и мочевыводящих путей: </w:t>
      </w:r>
      <w:r w:rsidRPr="00102F40">
        <w:rPr>
          <w:rFonts w:eastAsia="Calibri"/>
        </w:rPr>
        <w:t xml:space="preserve">нечастые – </w:t>
      </w:r>
      <w:r w:rsidRPr="00102F40">
        <w:t>нарушение функции почек (</w:t>
      </w:r>
      <w:proofErr w:type="spellStart"/>
      <w:r w:rsidRPr="00102F40">
        <w:t>олигурия</w:t>
      </w:r>
      <w:proofErr w:type="spellEnd"/>
      <w:r w:rsidRPr="00102F40">
        <w:t>, острая почечная недостаточность, тубулярный некроз).</w:t>
      </w:r>
    </w:p>
    <w:p w:rsidR="000661D4" w:rsidRPr="00102F40" w:rsidRDefault="00CA0FDD" w:rsidP="00A85693">
      <w:pPr>
        <w:pStyle w:val="af0"/>
        <w:spacing w:after="0" w:line="360" w:lineRule="auto"/>
        <w:jc w:val="both"/>
        <w:rPr>
          <w:rFonts w:eastAsia="Calibri"/>
        </w:rPr>
      </w:pPr>
      <w:r w:rsidRPr="00102F40">
        <w:rPr>
          <w:rFonts w:eastAsia="Lucida Sans Unicode"/>
          <w:i/>
          <w:kern w:val="2"/>
        </w:rPr>
        <w:t xml:space="preserve">Общие расстройства и нарушения в месте введения: </w:t>
      </w:r>
      <w:r w:rsidRPr="00102F40">
        <w:rPr>
          <w:rFonts w:eastAsia="Lucida Sans Unicode"/>
          <w:kern w:val="2"/>
        </w:rPr>
        <w:t>очень редкие – реакции в области инъекции/</w:t>
      </w:r>
      <w:proofErr w:type="spellStart"/>
      <w:r w:rsidRPr="00102F40">
        <w:rPr>
          <w:rFonts w:eastAsia="Lucida Sans Unicode"/>
          <w:kern w:val="2"/>
        </w:rPr>
        <w:t>инфузии</w:t>
      </w:r>
      <w:proofErr w:type="spellEnd"/>
      <w:r w:rsidRPr="00102F40">
        <w:rPr>
          <w:rFonts w:eastAsia="Lucida Sans Unicode"/>
          <w:kern w:val="2"/>
        </w:rPr>
        <w:t>, тромбофлебит.</w:t>
      </w:r>
    </w:p>
    <w:p w:rsidR="00C10216" w:rsidRPr="00102F40" w:rsidRDefault="00C10216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Передозировка </w:t>
      </w:r>
    </w:p>
    <w:p w:rsidR="00C10216" w:rsidRPr="00102F40" w:rsidRDefault="00C10216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Симптомы</w:t>
      </w:r>
      <w:r w:rsidR="00F57164" w:rsidRPr="00102F40">
        <w:rPr>
          <w:rFonts w:ascii="Times New Roman" w:hAnsi="Times New Roman" w:cs="Times New Roman"/>
          <w:sz w:val="24"/>
          <w:szCs w:val="24"/>
        </w:rPr>
        <w:t>: в</w:t>
      </w:r>
      <w:r w:rsidRPr="00102F40">
        <w:rPr>
          <w:rFonts w:ascii="Times New Roman" w:hAnsi="Times New Roman" w:cs="Times New Roman"/>
          <w:sz w:val="24"/>
          <w:szCs w:val="24"/>
        </w:rPr>
        <w:t xml:space="preserve"> настоящее время о случаях передозировки препаратом не сообщалось. </w:t>
      </w:r>
    </w:p>
    <w:p w:rsidR="00C10216" w:rsidRPr="00102F40" w:rsidRDefault="00C10216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Лечение</w:t>
      </w:r>
      <w:r w:rsidR="00F57164" w:rsidRPr="00102F40">
        <w:rPr>
          <w:rFonts w:ascii="Times New Roman" w:hAnsi="Times New Roman" w:cs="Times New Roman"/>
          <w:sz w:val="24"/>
          <w:szCs w:val="24"/>
        </w:rPr>
        <w:t>: а</w:t>
      </w:r>
      <w:r w:rsidRPr="00102F40">
        <w:rPr>
          <w:rFonts w:ascii="Times New Roman" w:hAnsi="Times New Roman" w:cs="Times New Roman"/>
          <w:sz w:val="24"/>
          <w:szCs w:val="24"/>
        </w:rPr>
        <w:t>нтидота к препарату не существует.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Взаимодействие с другими лекарственными средствами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Препарат не следует смешивать с другими препаратами.</w:t>
      </w:r>
    </w:p>
    <w:p w:rsidR="00CF6063" w:rsidRPr="00102F40" w:rsidRDefault="00EB26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046BDB" w:rsidRPr="00102F40">
        <w:rPr>
          <w:rFonts w:ascii="Times New Roman" w:hAnsi="Times New Roman" w:cs="Times New Roman"/>
          <w:sz w:val="24"/>
          <w:szCs w:val="24"/>
        </w:rPr>
        <w:t>совместим с 20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046BDB" w:rsidRPr="00102F40">
        <w:rPr>
          <w:rFonts w:ascii="Times New Roman" w:hAnsi="Times New Roman" w:cs="Times New Roman"/>
          <w:sz w:val="24"/>
          <w:szCs w:val="24"/>
        </w:rPr>
        <w:t xml:space="preserve">% раствором глюкозы, раствором </w:t>
      </w:r>
      <w:proofErr w:type="spellStart"/>
      <w:r w:rsidR="00046BDB" w:rsidRPr="00102F40">
        <w:rPr>
          <w:rFonts w:ascii="Times New Roman" w:hAnsi="Times New Roman" w:cs="Times New Roman"/>
          <w:sz w:val="24"/>
          <w:szCs w:val="24"/>
        </w:rPr>
        <w:t>гидроксиэтилированного</w:t>
      </w:r>
      <w:proofErr w:type="spellEnd"/>
      <w:r w:rsidR="00046BDB" w:rsidRPr="00102F40">
        <w:rPr>
          <w:rFonts w:ascii="Times New Roman" w:hAnsi="Times New Roman" w:cs="Times New Roman"/>
          <w:sz w:val="24"/>
          <w:szCs w:val="24"/>
        </w:rPr>
        <w:t xml:space="preserve"> крахмала, </w:t>
      </w:r>
      <w:proofErr w:type="spellStart"/>
      <w:r w:rsidR="00046BDB" w:rsidRPr="00102F40">
        <w:rPr>
          <w:rFonts w:ascii="Times New Roman" w:hAnsi="Times New Roman" w:cs="Times New Roman"/>
          <w:sz w:val="24"/>
          <w:szCs w:val="24"/>
        </w:rPr>
        <w:t>лактатным</w:t>
      </w:r>
      <w:proofErr w:type="spellEnd"/>
      <w:r w:rsidR="00046BDB" w:rsidRPr="00102F40">
        <w:rPr>
          <w:rFonts w:ascii="Times New Roman" w:hAnsi="Times New Roman" w:cs="Times New Roman"/>
          <w:sz w:val="24"/>
          <w:szCs w:val="24"/>
        </w:rPr>
        <w:t xml:space="preserve"> раствором </w:t>
      </w:r>
      <w:proofErr w:type="spellStart"/>
      <w:r w:rsidR="00046BDB" w:rsidRPr="00102F40">
        <w:rPr>
          <w:rFonts w:ascii="Times New Roman" w:hAnsi="Times New Roman" w:cs="Times New Roman"/>
          <w:sz w:val="24"/>
          <w:szCs w:val="24"/>
        </w:rPr>
        <w:t>Рингера</w:t>
      </w:r>
      <w:proofErr w:type="spellEnd"/>
      <w:r w:rsidR="00046BDB" w:rsidRPr="0010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063" w:rsidRPr="00102F40" w:rsidRDefault="00CF606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дозозависимо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снижает активность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стрептокиназы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урокиназы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CF6063" w:rsidRPr="00102F40" w:rsidRDefault="00CF606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Препарат не следует комбинировать с другими лекарственными средствами, особенно с 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 </w:t>
      </w:r>
      <w:r w:rsidRPr="00102F40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лактамными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антибиотиками, гепарином, гормонами коры надпочечников.</w:t>
      </w:r>
    </w:p>
    <w:p w:rsidR="00CF6063" w:rsidRPr="00102F40" w:rsidRDefault="00CF606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может подавлять активность неспецифической сывороточной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холинэстеразы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Одновременное 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суксаметония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хлорида может удлинять период апноэ.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Особые указания </w:t>
      </w:r>
    </w:p>
    <w:p w:rsidR="0025224D" w:rsidRPr="00102F40" w:rsidRDefault="0025224D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не является заменителем гепарина!</w:t>
      </w:r>
    </w:p>
    <w:p w:rsidR="00C21835" w:rsidRPr="00102F40" w:rsidRDefault="00C21835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Нарушение функции почек может быть спровоцировано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апротинином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особенно у пациентов с предшествующими ее нарушениями. Одновременное назначение потенциально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нефротоксичных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препаратов (например,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аминогликозидов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) повышает риск развития нарушений функции почек.</w:t>
      </w:r>
    </w:p>
    <w:p w:rsidR="00146C8C" w:rsidRPr="00102F40" w:rsidRDefault="00146C8C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Препарат содержит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бензиловый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спирт. Суточная дозировка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бензилового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спирта не должна превышать 90 мг</w:t>
      </w:r>
      <w:r w:rsidR="006958BB" w:rsidRPr="00102F40">
        <w:rPr>
          <w:rFonts w:ascii="Times New Roman" w:hAnsi="Times New Roman" w:cs="Times New Roman"/>
          <w:sz w:val="24"/>
          <w:szCs w:val="24"/>
        </w:rPr>
        <w:t>/</w:t>
      </w:r>
      <w:r w:rsidRPr="00102F40">
        <w:rPr>
          <w:rFonts w:ascii="Times New Roman" w:hAnsi="Times New Roman" w:cs="Times New Roman"/>
          <w:sz w:val="24"/>
          <w:szCs w:val="24"/>
        </w:rPr>
        <w:t xml:space="preserve">кг </w:t>
      </w:r>
      <w:r w:rsidR="006958BB" w:rsidRPr="00102F40">
        <w:rPr>
          <w:rFonts w:ascii="Times New Roman" w:hAnsi="Times New Roman" w:cs="Times New Roman"/>
          <w:sz w:val="24"/>
          <w:szCs w:val="24"/>
        </w:rPr>
        <w:t>массы</w:t>
      </w:r>
      <w:r w:rsidRPr="00102F40">
        <w:rPr>
          <w:rFonts w:ascii="Times New Roman" w:hAnsi="Times New Roman" w:cs="Times New Roman"/>
          <w:sz w:val="24"/>
          <w:szCs w:val="24"/>
        </w:rPr>
        <w:t xml:space="preserve"> тела.</w:t>
      </w:r>
    </w:p>
    <w:p w:rsidR="003D25BE" w:rsidRPr="00102F40" w:rsidRDefault="005616AD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гиперфибринолизе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 синдроме диссеми</w:t>
      </w:r>
      <w:r w:rsidR="00091FF4" w:rsidRPr="00102F40">
        <w:rPr>
          <w:rFonts w:ascii="Times New Roman" w:hAnsi="Times New Roman" w:cs="Times New Roman"/>
          <w:sz w:val="24"/>
          <w:szCs w:val="24"/>
        </w:rPr>
        <w:t>н</w:t>
      </w:r>
      <w:r w:rsidRPr="00102F40">
        <w:rPr>
          <w:rFonts w:ascii="Times New Roman" w:hAnsi="Times New Roman" w:cs="Times New Roman"/>
          <w:sz w:val="24"/>
          <w:szCs w:val="24"/>
        </w:rPr>
        <w:t xml:space="preserve">ированного внутрисосудистого свертывания (ДВС-синдроме) 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091FF4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91FF4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возможно только после устранения всех </w:t>
      </w:r>
      <w:r w:rsidR="00091FF4" w:rsidRPr="00102F40">
        <w:rPr>
          <w:rFonts w:ascii="Times New Roman" w:hAnsi="Times New Roman" w:cs="Times New Roman"/>
          <w:sz w:val="24"/>
          <w:szCs w:val="24"/>
        </w:rPr>
        <w:t xml:space="preserve">его </w:t>
      </w:r>
      <w:r w:rsidRPr="00102F40">
        <w:rPr>
          <w:rFonts w:ascii="Times New Roman" w:hAnsi="Times New Roman" w:cs="Times New Roman"/>
          <w:sz w:val="24"/>
          <w:szCs w:val="24"/>
        </w:rPr>
        <w:t xml:space="preserve">проявлений и </w:t>
      </w:r>
      <w:r w:rsidR="00091FF4" w:rsidRPr="00102F40">
        <w:rPr>
          <w:rFonts w:ascii="Times New Roman" w:hAnsi="Times New Roman" w:cs="Times New Roman"/>
          <w:sz w:val="24"/>
          <w:szCs w:val="24"/>
        </w:rPr>
        <w:t>н</w:t>
      </w:r>
      <w:r w:rsidR="00091FF4" w:rsidRPr="00102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1FF4" w:rsidRPr="00102F40">
        <w:rPr>
          <w:rFonts w:ascii="Times New Roman" w:hAnsi="Times New Roman" w:cs="Times New Roman"/>
          <w:sz w:val="24"/>
          <w:szCs w:val="24"/>
        </w:rPr>
        <w:t xml:space="preserve"> фоне</w:t>
      </w:r>
      <w:r w:rsidRPr="00102F40">
        <w:rPr>
          <w:rFonts w:ascii="Times New Roman" w:hAnsi="Times New Roman" w:cs="Times New Roman"/>
          <w:sz w:val="24"/>
          <w:szCs w:val="24"/>
        </w:rPr>
        <w:t xml:space="preserve"> профилактическо</w:t>
      </w:r>
      <w:r w:rsidR="00091FF4" w:rsidRPr="00102F40">
        <w:rPr>
          <w:rFonts w:ascii="Times New Roman" w:hAnsi="Times New Roman" w:cs="Times New Roman"/>
          <w:sz w:val="24"/>
          <w:szCs w:val="24"/>
        </w:rPr>
        <w:t>го</w:t>
      </w:r>
      <w:r w:rsidRPr="00102F40">
        <w:rPr>
          <w:rFonts w:ascii="Times New Roman" w:hAnsi="Times New Roman" w:cs="Times New Roman"/>
          <w:sz w:val="24"/>
          <w:szCs w:val="24"/>
        </w:rPr>
        <w:t xml:space="preserve"> введени</w:t>
      </w:r>
      <w:r w:rsidR="00091FF4" w:rsidRPr="00102F40">
        <w:rPr>
          <w:rFonts w:ascii="Times New Roman" w:hAnsi="Times New Roman" w:cs="Times New Roman"/>
          <w:sz w:val="24"/>
          <w:szCs w:val="24"/>
        </w:rPr>
        <w:t>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гепарина.</w:t>
      </w:r>
    </w:p>
    <w:p w:rsidR="00B34592" w:rsidRPr="00102F40" w:rsidRDefault="00B34592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 xml:space="preserve">Реакции гиперчувствительности 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При применении </w:t>
      </w:r>
      <w:proofErr w:type="spellStart"/>
      <w:r w:rsidR="00333F26"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26F8D" w:rsidRPr="00102F40">
        <w:rPr>
          <w:rFonts w:ascii="Times New Roman" w:hAnsi="Times New Roman" w:cs="Times New Roman"/>
          <w:sz w:val="24"/>
          <w:szCs w:val="24"/>
        </w:rPr>
        <w:t xml:space="preserve"> (</w:t>
      </w:r>
      <w:r w:rsidRPr="00102F40">
        <w:rPr>
          <w:rFonts w:ascii="Times New Roman" w:hAnsi="Times New Roman" w:cs="Times New Roman"/>
          <w:sz w:val="24"/>
          <w:szCs w:val="24"/>
        </w:rPr>
        <w:t>особенно при повторном применении</w:t>
      </w:r>
      <w:r w:rsidR="00A26F8D" w:rsidRPr="00102F40">
        <w:rPr>
          <w:rFonts w:ascii="Times New Roman" w:hAnsi="Times New Roman" w:cs="Times New Roman"/>
          <w:sz w:val="24"/>
          <w:szCs w:val="24"/>
        </w:rPr>
        <w:t>)</w:t>
      </w:r>
      <w:r w:rsidRPr="00102F40">
        <w:rPr>
          <w:rFonts w:ascii="Times New Roman" w:hAnsi="Times New Roman" w:cs="Times New Roman"/>
          <w:sz w:val="24"/>
          <w:szCs w:val="24"/>
        </w:rPr>
        <w:t xml:space="preserve"> возможно развитие аллергических/анафилактических реакций. Поэтому перед применением препарата необходимо тщательно оценить соотношение польза/риск. За 10 мин до введения основной дозы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15D09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вводится пробная доза, составляющая 1 мл (10 тыс. КИЕ). За 15 мин до введения терапевтической дозы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B265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возможно применение блокаторов </w:t>
      </w:r>
      <w:r w:rsidR="00091FF4" w:rsidRPr="00102F40">
        <w:rPr>
          <w:rFonts w:ascii="Times New Roman" w:hAnsi="Times New Roman" w:cs="Times New Roman"/>
          <w:sz w:val="24"/>
          <w:szCs w:val="24"/>
        </w:rPr>
        <w:t>H</w:t>
      </w:r>
      <w:r w:rsidR="00091FF4" w:rsidRPr="00102F4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91FF4" w:rsidRPr="00102F40">
        <w:rPr>
          <w:rFonts w:ascii="Times New Roman" w:hAnsi="Times New Roman" w:cs="Times New Roman"/>
          <w:sz w:val="24"/>
          <w:szCs w:val="24"/>
        </w:rPr>
        <w:t>-</w:t>
      </w:r>
      <w:r w:rsidRPr="00102F40">
        <w:rPr>
          <w:rFonts w:ascii="Times New Roman" w:hAnsi="Times New Roman" w:cs="Times New Roman"/>
          <w:sz w:val="24"/>
          <w:szCs w:val="24"/>
        </w:rPr>
        <w:t xml:space="preserve">гистаминовых рецепторов. Однако аллергические/анафилактические реакции могут </w:t>
      </w:r>
      <w:r w:rsidRPr="00102F40">
        <w:rPr>
          <w:rFonts w:ascii="Times New Roman" w:hAnsi="Times New Roman" w:cs="Times New Roman"/>
          <w:sz w:val="24"/>
          <w:szCs w:val="24"/>
        </w:rPr>
        <w:lastRenderedPageBreak/>
        <w:t xml:space="preserve">развиться при введении терапевтической дозы препарата, даже если во время введения пробной дозы побочных реакций не отмечалось. В случае развития реакций гиперчувствительности при применении </w:t>
      </w:r>
      <w:proofErr w:type="spellStart"/>
      <w:r w:rsidR="00FB50FA"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, следует немедленно прекратить введение препарата и обеспечить проведение стандартных неотложных мероприятий</w:t>
      </w:r>
      <w:r w:rsidR="00091FF4" w:rsidRPr="00102F40">
        <w:rPr>
          <w:rFonts w:ascii="Times New Roman" w:hAnsi="Times New Roman" w:cs="Times New Roman"/>
          <w:sz w:val="24"/>
          <w:szCs w:val="24"/>
        </w:rPr>
        <w:t>, в том числе</w:t>
      </w:r>
      <w:r w:rsidR="005616AD" w:rsidRPr="00102F40">
        <w:rPr>
          <w:rFonts w:ascii="Times New Roman" w:hAnsi="Times New Roman" w:cs="Times New Roman"/>
          <w:sz w:val="24"/>
          <w:szCs w:val="24"/>
        </w:rPr>
        <w:t xml:space="preserve">, одно- или многоразовое внутривенное введение адреналина </w:t>
      </w:r>
      <w:r w:rsidR="00091FF4" w:rsidRPr="00102F40">
        <w:rPr>
          <w:rFonts w:ascii="Times New Roman" w:hAnsi="Times New Roman" w:cs="Times New Roman"/>
          <w:sz w:val="24"/>
          <w:szCs w:val="24"/>
        </w:rPr>
        <w:t>(</w:t>
      </w:r>
      <w:r w:rsidR="005616AD" w:rsidRPr="00102F40">
        <w:rPr>
          <w:rFonts w:ascii="Times New Roman" w:hAnsi="Times New Roman" w:cs="Times New Roman"/>
          <w:sz w:val="24"/>
          <w:szCs w:val="24"/>
        </w:rPr>
        <w:t>в дозе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5616AD" w:rsidRPr="00102F40">
        <w:rPr>
          <w:rFonts w:ascii="Times New Roman" w:hAnsi="Times New Roman" w:cs="Times New Roman"/>
          <w:sz w:val="24"/>
          <w:szCs w:val="24"/>
        </w:rPr>
        <w:t>0,05-0,1 мг</w:t>
      </w:r>
      <w:r w:rsidR="00091FF4" w:rsidRPr="00102F40">
        <w:rPr>
          <w:rFonts w:ascii="Times New Roman" w:hAnsi="Times New Roman" w:cs="Times New Roman"/>
          <w:sz w:val="24"/>
          <w:szCs w:val="24"/>
        </w:rPr>
        <w:t>),</w:t>
      </w:r>
      <w:r w:rsidR="005616AD" w:rsidRPr="00102F40">
        <w:rPr>
          <w:rFonts w:ascii="Times New Roman" w:hAnsi="Times New Roman" w:cs="Times New Roman"/>
          <w:sz w:val="24"/>
          <w:szCs w:val="24"/>
        </w:rPr>
        <w:t xml:space="preserve"> преднизолона </w:t>
      </w:r>
      <w:r w:rsidR="00091FF4" w:rsidRPr="00102F40">
        <w:rPr>
          <w:rFonts w:ascii="Times New Roman" w:hAnsi="Times New Roman" w:cs="Times New Roman"/>
          <w:sz w:val="24"/>
          <w:szCs w:val="24"/>
        </w:rPr>
        <w:t>(</w:t>
      </w:r>
      <w:r w:rsidR="005616AD" w:rsidRPr="00102F40">
        <w:rPr>
          <w:rFonts w:ascii="Times New Roman" w:hAnsi="Times New Roman" w:cs="Times New Roman"/>
          <w:sz w:val="24"/>
          <w:szCs w:val="24"/>
        </w:rPr>
        <w:t>в дозе 250-1000 мг</w:t>
      </w:r>
      <w:r w:rsidR="00091FF4" w:rsidRPr="00102F40">
        <w:rPr>
          <w:rFonts w:ascii="Times New Roman" w:hAnsi="Times New Roman" w:cs="Times New Roman"/>
          <w:sz w:val="24"/>
          <w:szCs w:val="24"/>
        </w:rPr>
        <w:t>)</w:t>
      </w:r>
      <w:r w:rsidR="005616AD" w:rsidRPr="00102F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616AD" w:rsidRPr="00102F40">
        <w:rPr>
          <w:rFonts w:ascii="Times New Roman" w:hAnsi="Times New Roman" w:cs="Times New Roman"/>
          <w:sz w:val="24"/>
          <w:szCs w:val="24"/>
        </w:rPr>
        <w:t>плазмозаменителей</w:t>
      </w:r>
      <w:proofErr w:type="spellEnd"/>
      <w:r w:rsidR="005616AD" w:rsidRPr="00102F40">
        <w:rPr>
          <w:rFonts w:ascii="Times New Roman" w:hAnsi="Times New Roman" w:cs="Times New Roman"/>
          <w:sz w:val="24"/>
          <w:szCs w:val="24"/>
        </w:rPr>
        <w:t>.</w:t>
      </w:r>
    </w:p>
    <w:p w:rsidR="00B34592" w:rsidRPr="00102F40" w:rsidRDefault="00BB3383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До назначения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рекомендуется </w:t>
      </w:r>
      <w:r w:rsidR="00091FF4" w:rsidRPr="00102F40">
        <w:rPr>
          <w:rFonts w:ascii="Times New Roman" w:hAnsi="Times New Roman" w:cs="Times New Roman"/>
          <w:sz w:val="24"/>
          <w:szCs w:val="24"/>
        </w:rPr>
        <w:t>оценить</w:t>
      </w:r>
      <w:r w:rsidRPr="00102F40">
        <w:rPr>
          <w:rFonts w:ascii="Times New Roman" w:hAnsi="Times New Roman" w:cs="Times New Roman"/>
          <w:sz w:val="24"/>
          <w:szCs w:val="24"/>
        </w:rPr>
        <w:t xml:space="preserve"> наличие антител (</w:t>
      </w:r>
      <w:r w:rsidRPr="00102F40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102F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апротинину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. Пациенты, у которых выявлены антитела (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), имеют повышенный риск развития аллергических реакций и 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</w:t>
      </w:r>
      <w:r w:rsidR="00A26F8D" w:rsidRPr="00102F40">
        <w:rPr>
          <w:rFonts w:ascii="Times New Roman" w:hAnsi="Times New Roman" w:cs="Times New Roman"/>
          <w:sz w:val="24"/>
          <w:szCs w:val="24"/>
        </w:rPr>
        <w:t>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у таких пациентов противопоказано (см. раздел “Противопоказания”). Если </w:t>
      </w:r>
      <w:r w:rsidR="00091FF4" w:rsidRPr="00102F4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102F40">
        <w:rPr>
          <w:rFonts w:ascii="Times New Roman" w:hAnsi="Times New Roman" w:cs="Times New Roman"/>
          <w:sz w:val="24"/>
          <w:szCs w:val="24"/>
        </w:rPr>
        <w:t>тест</w:t>
      </w:r>
      <w:r w:rsidR="00091FF4" w:rsidRPr="00102F40">
        <w:rPr>
          <w:rFonts w:ascii="Times New Roman" w:hAnsi="Times New Roman" w:cs="Times New Roman"/>
          <w:sz w:val="24"/>
          <w:szCs w:val="24"/>
        </w:rPr>
        <w:t>а</w:t>
      </w:r>
      <w:r w:rsidRPr="00102F40">
        <w:rPr>
          <w:rFonts w:ascii="Times New Roman" w:hAnsi="Times New Roman" w:cs="Times New Roman"/>
          <w:sz w:val="24"/>
          <w:szCs w:val="24"/>
        </w:rPr>
        <w:t xml:space="preserve"> на наличие антител невозможно, то у пациентов, у которых нельзя исключить возможность применения других препаратов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в течение последних 12 мес</w:t>
      </w:r>
      <w:r w:rsidR="006958BB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>,</w:t>
      </w:r>
      <w:r w:rsidR="00715D09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противопоказано.</w:t>
      </w:r>
    </w:p>
    <w:p w:rsidR="00BB3383" w:rsidRPr="00102F40" w:rsidRDefault="00994C79" w:rsidP="00EF3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40">
        <w:rPr>
          <w:rFonts w:ascii="Times New Roman" w:hAnsi="Times New Roman" w:cs="Times New Roman"/>
          <w:i/>
          <w:sz w:val="24"/>
          <w:szCs w:val="24"/>
        </w:rPr>
        <w:t>Применение совместно с гепарином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При проведении операции на грудном отделе аорты с использованием АИК и применением глубокой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кардиоплегии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EB2658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>следует применять крайне, осторожно на фоне адекватной терапии гепарином.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Определение времени активированного свертывания не является стандартизированным тестом для определения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коагуляционной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способности крови, и применение </w:t>
      </w:r>
      <w:proofErr w:type="spellStart"/>
      <w:r w:rsidR="00994C79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может влиять на различные методики проведения теста. Тест измерения степени коагуляции (АСТ) подвержен влиянию различных эффектов при разведении и воздействии температуры. АСТ тест с каолином не увеличивается в такой степени при наличии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как АСТ тест 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целитом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Из-за различия в протоколах рекомендуется принимать минимальные значения АСТ теста </w:t>
      </w:r>
      <w:r w:rsidR="006958BB" w:rsidRPr="00102F40">
        <w:rPr>
          <w:rFonts w:ascii="Times New Roman" w:hAnsi="Times New Roman" w:cs="Times New Roman"/>
          <w:sz w:val="24"/>
          <w:szCs w:val="24"/>
        </w:rPr>
        <w:t>–</w:t>
      </w:r>
      <w:r w:rsidRPr="00102F40">
        <w:rPr>
          <w:rFonts w:ascii="Times New Roman" w:hAnsi="Times New Roman" w:cs="Times New Roman"/>
          <w:sz w:val="24"/>
          <w:szCs w:val="24"/>
        </w:rPr>
        <w:t xml:space="preserve"> 750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с и АСТ теста с каолином </w:t>
      </w:r>
      <w:r w:rsidR="006958BB" w:rsidRPr="00102F40">
        <w:rPr>
          <w:rFonts w:ascii="Times New Roman" w:hAnsi="Times New Roman" w:cs="Times New Roman"/>
          <w:sz w:val="24"/>
          <w:szCs w:val="24"/>
        </w:rPr>
        <w:t>–</w:t>
      </w:r>
      <w:r w:rsidRPr="00102F40">
        <w:rPr>
          <w:rFonts w:ascii="Times New Roman" w:hAnsi="Times New Roman" w:cs="Times New Roman"/>
          <w:sz w:val="24"/>
          <w:szCs w:val="24"/>
        </w:rPr>
        <w:t xml:space="preserve"> 480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Pr="00102F40">
        <w:rPr>
          <w:rFonts w:ascii="Times New Roman" w:hAnsi="Times New Roman" w:cs="Times New Roman"/>
          <w:sz w:val="24"/>
          <w:szCs w:val="24"/>
        </w:rPr>
        <w:t xml:space="preserve">с при присутствии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, независимо от эффектов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гемодилюции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и гипотермии. Стандартная доза гепарина, вводимая </w:t>
      </w:r>
      <w:r w:rsidR="006958BB" w:rsidRPr="00102F40">
        <w:rPr>
          <w:rFonts w:ascii="Times New Roman" w:hAnsi="Times New Roman" w:cs="Times New Roman"/>
          <w:sz w:val="24"/>
          <w:szCs w:val="24"/>
        </w:rPr>
        <w:t>–</w:t>
      </w:r>
      <w:r w:rsidRPr="00102F40">
        <w:rPr>
          <w:rFonts w:ascii="Times New Roman" w:hAnsi="Times New Roman" w:cs="Times New Roman"/>
          <w:sz w:val="24"/>
          <w:szCs w:val="24"/>
        </w:rPr>
        <w:t xml:space="preserve"> до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кануляции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сердца и добавляем</w:t>
      </w:r>
      <w:r w:rsidR="00FB50FA" w:rsidRPr="00102F40">
        <w:rPr>
          <w:rFonts w:ascii="Times New Roman" w:hAnsi="Times New Roman" w:cs="Times New Roman"/>
          <w:sz w:val="24"/>
          <w:szCs w:val="24"/>
        </w:rPr>
        <w:t>ая</w:t>
      </w:r>
      <w:r w:rsidRPr="00102F40">
        <w:rPr>
          <w:rFonts w:ascii="Times New Roman" w:hAnsi="Times New Roman" w:cs="Times New Roman"/>
          <w:sz w:val="24"/>
          <w:szCs w:val="24"/>
        </w:rPr>
        <w:t xml:space="preserve"> к первичному объему в аппарат искусственного кровообращения, должн</w:t>
      </w:r>
      <w:r w:rsidR="00FB50FA" w:rsidRPr="00102F40">
        <w:rPr>
          <w:rFonts w:ascii="Times New Roman" w:hAnsi="Times New Roman" w:cs="Times New Roman"/>
          <w:sz w:val="24"/>
          <w:szCs w:val="24"/>
        </w:rPr>
        <w:t>а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FB50FA" w:rsidRPr="00102F40">
        <w:rPr>
          <w:rFonts w:ascii="Times New Roman" w:hAnsi="Times New Roman" w:cs="Times New Roman"/>
          <w:sz w:val="24"/>
          <w:szCs w:val="24"/>
        </w:rPr>
        <w:t>быть</w:t>
      </w:r>
      <w:r w:rsidRPr="00102F40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6958BB" w:rsidRPr="00102F40">
        <w:rPr>
          <w:rFonts w:ascii="Times New Roman" w:hAnsi="Times New Roman" w:cs="Times New Roman"/>
          <w:sz w:val="24"/>
          <w:szCs w:val="24"/>
        </w:rPr>
        <w:t xml:space="preserve">  </w:t>
      </w:r>
      <w:r w:rsidRPr="00102F40">
        <w:rPr>
          <w:rFonts w:ascii="Times New Roman" w:hAnsi="Times New Roman" w:cs="Times New Roman"/>
          <w:sz w:val="24"/>
          <w:szCs w:val="24"/>
        </w:rPr>
        <w:t xml:space="preserve">350 МЕ/кг. Дополнительная доза гепарина определяется массой тела пациента и продолжительностью периода экстракорпорального кровообращения. Метод титрования протамина не подвержен влиянию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Добавочные дозы гепарина определяются на основании концентрации гепарина, рассчитанные этим методом. Концентрация гепарина </w:t>
      </w:r>
      <w:proofErr w:type="gramStart"/>
      <w:r w:rsidRPr="00102F40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102F40">
        <w:rPr>
          <w:rFonts w:ascii="Times New Roman" w:hAnsi="Times New Roman" w:cs="Times New Roman"/>
          <w:sz w:val="24"/>
          <w:szCs w:val="24"/>
        </w:rPr>
        <w:t xml:space="preserve">, шунтирования не должна опускаться ниже 2,7 ЕД/мл (0,2 мг/кг) или ниже уровня, определенного до применения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апротинина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. У пациентов, получавших </w:t>
      </w:r>
      <w:proofErr w:type="spellStart"/>
      <w:r w:rsidR="00EB2658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>, нейтрализацию гепарина протамином следует проводить только после прерывания экстракорпорального кровообращения, на основании фиксированного количества вводимого гепарина или под контролем метода титрования протамина.</w:t>
      </w:r>
    </w:p>
    <w:p w:rsidR="00065DA1" w:rsidRPr="00102F40" w:rsidRDefault="00065DA1" w:rsidP="00EF35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Влияние на способность управлять </w:t>
      </w:r>
      <w:r w:rsidR="00F57164"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автотранспортом</w:t>
      </w:r>
      <w:r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F57164"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</w:t>
      </w:r>
      <w:r w:rsidR="00F57164"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ать</w:t>
      </w:r>
      <w:r w:rsidRPr="0010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механизмами</w:t>
      </w:r>
    </w:p>
    <w:p w:rsidR="003D25BE" w:rsidRPr="00102F40" w:rsidRDefault="00091FF4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После</w:t>
      </w:r>
      <w:r w:rsidR="003D25BE" w:rsidRPr="00102F40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Pr="00102F40">
        <w:rPr>
          <w:rFonts w:ascii="Times New Roman" w:hAnsi="Times New Roman" w:cs="Times New Roman"/>
          <w:sz w:val="24"/>
          <w:szCs w:val="24"/>
        </w:rPr>
        <w:t>я</w:t>
      </w:r>
      <w:r w:rsidR="003D25BE"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5BE" w:rsidRPr="00102F40">
        <w:rPr>
          <w:rFonts w:ascii="Times New Roman" w:hAnsi="Times New Roman" w:cs="Times New Roman"/>
          <w:sz w:val="24"/>
          <w:szCs w:val="24"/>
        </w:rPr>
        <w:t>Апротинин</w:t>
      </w:r>
      <w:proofErr w:type="spellEnd"/>
      <w:r w:rsidR="003D25BE" w:rsidRPr="00102F40">
        <w:rPr>
          <w:rFonts w:ascii="Times New Roman" w:hAnsi="Times New Roman" w:cs="Times New Roman"/>
          <w:sz w:val="24"/>
          <w:szCs w:val="24"/>
        </w:rPr>
        <w:t xml:space="preserve"> следует соблюдать осторожность при вождении транспорта и управлении механизмами в связи с тем, что могут развиться побочные реакции со стороны центральной нервной системы (спутанность сознания), которые влияют на способность концентрировать внимание и быстроту психомоторных реакций.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Форма выпуска</w:t>
      </w:r>
    </w:p>
    <w:p w:rsidR="00EB2658" w:rsidRPr="00102F40" w:rsidRDefault="00A603C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Р</w:t>
      </w:r>
      <w:r w:rsidR="00EB2658" w:rsidRPr="00102F40">
        <w:rPr>
          <w:rFonts w:ascii="Times New Roman" w:hAnsi="Times New Roman" w:cs="Times New Roman"/>
          <w:sz w:val="24"/>
          <w:szCs w:val="24"/>
        </w:rPr>
        <w:t>ас</w:t>
      </w:r>
      <w:r w:rsidR="00A26F8D" w:rsidRPr="00102F40">
        <w:rPr>
          <w:rFonts w:ascii="Times New Roman" w:hAnsi="Times New Roman" w:cs="Times New Roman"/>
          <w:sz w:val="24"/>
          <w:szCs w:val="24"/>
        </w:rPr>
        <w:t>твор для внутривенного введения</w:t>
      </w:r>
      <w:r w:rsidR="00F57164" w:rsidRPr="00102F40">
        <w:rPr>
          <w:rFonts w:ascii="Times New Roman" w:hAnsi="Times New Roman" w:cs="Times New Roman"/>
          <w:sz w:val="24"/>
          <w:szCs w:val="24"/>
        </w:rPr>
        <w:t>, 10</w:t>
      </w:r>
      <w:r w:rsidR="00856743"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F57164" w:rsidRPr="00102F40">
        <w:rPr>
          <w:rFonts w:ascii="Times New Roman" w:hAnsi="Times New Roman" w:cs="Times New Roman"/>
          <w:sz w:val="24"/>
          <w:szCs w:val="24"/>
        </w:rPr>
        <w:t>000 КИЕ/мл</w:t>
      </w:r>
      <w:r w:rsidR="00EB2658" w:rsidRPr="0010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CED" w:rsidRPr="00102F40" w:rsidRDefault="00A603C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По 10 мл в</w:t>
      </w:r>
      <w:r w:rsidR="00DB5CED" w:rsidRPr="00102F40">
        <w:rPr>
          <w:rFonts w:ascii="Times New Roman" w:hAnsi="Times New Roman" w:cs="Times New Roman"/>
          <w:sz w:val="24"/>
          <w:szCs w:val="24"/>
        </w:rPr>
        <w:t xml:space="preserve"> бесцветных</w:t>
      </w:r>
      <w:r w:rsidRPr="00102F40">
        <w:rPr>
          <w:rFonts w:ascii="Times New Roman" w:hAnsi="Times New Roman" w:cs="Times New Roman"/>
          <w:sz w:val="24"/>
          <w:szCs w:val="24"/>
        </w:rPr>
        <w:t xml:space="preserve"> ампул</w:t>
      </w:r>
      <w:r w:rsidR="00DB5CED" w:rsidRPr="00102F40">
        <w:rPr>
          <w:rFonts w:ascii="Times New Roman" w:hAnsi="Times New Roman" w:cs="Times New Roman"/>
          <w:sz w:val="24"/>
          <w:szCs w:val="24"/>
        </w:rPr>
        <w:t>ах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DB5CED" w:rsidRPr="00102F40">
        <w:rPr>
          <w:rFonts w:ascii="Times New Roman" w:hAnsi="Times New Roman" w:cs="Times New Roman"/>
          <w:sz w:val="24"/>
          <w:szCs w:val="24"/>
        </w:rPr>
        <w:t>нейтрального</w:t>
      </w:r>
      <w:r w:rsidRPr="00102F40">
        <w:rPr>
          <w:rFonts w:ascii="Times New Roman" w:hAnsi="Times New Roman" w:cs="Times New Roman"/>
          <w:sz w:val="24"/>
          <w:szCs w:val="24"/>
        </w:rPr>
        <w:t xml:space="preserve"> стекла </w:t>
      </w:r>
      <w:r w:rsidR="00DB5CED" w:rsidRPr="00102F40">
        <w:rPr>
          <w:rFonts w:ascii="Times New Roman" w:hAnsi="Times New Roman" w:cs="Times New Roman"/>
          <w:sz w:val="24"/>
          <w:szCs w:val="24"/>
        </w:rPr>
        <w:t>(</w:t>
      </w:r>
      <w:r w:rsidR="00DB5CED" w:rsidRPr="00102F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B5CED" w:rsidRPr="00102F40">
        <w:rPr>
          <w:rFonts w:ascii="Times New Roman" w:hAnsi="Times New Roman" w:cs="Times New Roman"/>
          <w:sz w:val="24"/>
          <w:szCs w:val="24"/>
        </w:rPr>
        <w:t xml:space="preserve"> гидролитического класса) с кольцом излома или точкой надлома</w:t>
      </w:r>
      <w:r w:rsidRPr="0010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CED" w:rsidRPr="00102F40" w:rsidRDefault="00A603C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 xml:space="preserve">По 5 ампул в </w:t>
      </w:r>
      <w:r w:rsidR="00DB5CED" w:rsidRPr="00102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контурной ячейковой упаковке</w:t>
      </w:r>
      <w:r w:rsidRPr="0010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DA1" w:rsidRPr="00102F40" w:rsidRDefault="00A603C7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По</w:t>
      </w:r>
      <w:r w:rsidR="00EA35C4" w:rsidRPr="00102F40">
        <w:rPr>
          <w:rFonts w:ascii="Times New Roman" w:hAnsi="Times New Roman" w:cs="Times New Roman"/>
          <w:sz w:val="24"/>
          <w:szCs w:val="24"/>
        </w:rPr>
        <w:t xml:space="preserve"> 1</w:t>
      </w:r>
      <w:r w:rsidR="00DB5CED" w:rsidRPr="00102F40">
        <w:rPr>
          <w:rFonts w:ascii="Times New Roman" w:hAnsi="Times New Roman" w:cs="Times New Roman"/>
          <w:sz w:val="24"/>
          <w:szCs w:val="24"/>
        </w:rPr>
        <w:t>, 2</w:t>
      </w:r>
      <w:r w:rsidR="00EA35C4" w:rsidRPr="00102F40">
        <w:rPr>
          <w:rFonts w:ascii="Times New Roman" w:hAnsi="Times New Roman" w:cs="Times New Roman"/>
          <w:sz w:val="24"/>
          <w:szCs w:val="24"/>
        </w:rPr>
        <w:t xml:space="preserve"> или</w:t>
      </w:r>
      <w:r w:rsidRPr="00102F40">
        <w:rPr>
          <w:rFonts w:ascii="Times New Roman" w:hAnsi="Times New Roman" w:cs="Times New Roman"/>
          <w:sz w:val="24"/>
          <w:szCs w:val="24"/>
        </w:rPr>
        <w:t xml:space="preserve"> 5 </w:t>
      </w:r>
      <w:r w:rsidR="00EA35C4" w:rsidRPr="00102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контурных ячейковых упаковок</w:t>
      </w:r>
      <w:r w:rsidR="00B007D8" w:rsidRPr="001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B007D8" w:rsidRPr="00102F40">
        <w:rPr>
          <w:rFonts w:ascii="Times New Roman" w:hAnsi="Times New Roman" w:cs="Times New Roman"/>
          <w:sz w:val="24"/>
          <w:szCs w:val="24"/>
        </w:rPr>
        <w:t xml:space="preserve">с инструкцией по применению </w:t>
      </w:r>
      <w:r w:rsidRPr="00102F40">
        <w:rPr>
          <w:rFonts w:ascii="Times New Roman" w:hAnsi="Times New Roman" w:cs="Times New Roman"/>
          <w:sz w:val="24"/>
          <w:szCs w:val="24"/>
        </w:rPr>
        <w:t xml:space="preserve">в </w:t>
      </w:r>
      <w:r w:rsidR="00DB5CED" w:rsidRPr="00102F40">
        <w:rPr>
          <w:rFonts w:ascii="Times New Roman" w:hAnsi="Times New Roman" w:cs="Times New Roman"/>
          <w:sz w:val="24"/>
          <w:szCs w:val="24"/>
        </w:rPr>
        <w:t>пачке из картона</w:t>
      </w:r>
      <w:r w:rsidRPr="00102F40">
        <w:rPr>
          <w:rFonts w:ascii="Times New Roman" w:hAnsi="Times New Roman" w:cs="Times New Roman"/>
          <w:sz w:val="24"/>
          <w:szCs w:val="24"/>
        </w:rPr>
        <w:t>.</w:t>
      </w:r>
    </w:p>
    <w:p w:rsidR="00DB5CED" w:rsidRPr="00102F40" w:rsidRDefault="00DB5CED" w:rsidP="00DB5C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Условия хранения </w:t>
      </w:r>
    </w:p>
    <w:p w:rsidR="00DB5CED" w:rsidRPr="00102F40" w:rsidRDefault="00DB5CED" w:rsidP="00DB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В защищенном от света месте, при температуре не выше 25 °С. Не замораживать.</w:t>
      </w:r>
    </w:p>
    <w:p w:rsidR="00DB5CED" w:rsidRPr="00102F40" w:rsidRDefault="00DB5CED" w:rsidP="00DB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Хранить в недоступном для детей месте.</w:t>
      </w:r>
    </w:p>
    <w:p w:rsidR="00065DA1" w:rsidRPr="00102F40" w:rsidRDefault="00065DA1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Срок годности </w:t>
      </w:r>
    </w:p>
    <w:p w:rsidR="00065DA1" w:rsidRPr="00102F40" w:rsidRDefault="00DB5CED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3 года</w:t>
      </w:r>
      <w:r w:rsidR="00065DA1" w:rsidRPr="00102F40">
        <w:rPr>
          <w:rFonts w:ascii="Times New Roman" w:hAnsi="Times New Roman" w:cs="Times New Roman"/>
          <w:sz w:val="24"/>
          <w:szCs w:val="24"/>
        </w:rPr>
        <w:t>.</w:t>
      </w:r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r w:rsidR="00065DA1" w:rsidRPr="00102F40">
        <w:rPr>
          <w:rFonts w:ascii="Times New Roman" w:hAnsi="Times New Roman" w:cs="Times New Roman"/>
          <w:sz w:val="24"/>
          <w:szCs w:val="24"/>
        </w:rPr>
        <w:t>Не использовать после истечения срока годности.</w:t>
      </w:r>
    </w:p>
    <w:p w:rsidR="00046BDB" w:rsidRPr="00102F40" w:rsidRDefault="00046BDB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 xml:space="preserve">Условия отпуска </w:t>
      </w:r>
    </w:p>
    <w:p w:rsidR="00046BDB" w:rsidRPr="00102F40" w:rsidRDefault="00EA35C4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Отпускают п</w:t>
      </w:r>
      <w:r w:rsidR="00046BDB" w:rsidRPr="00102F40">
        <w:rPr>
          <w:rFonts w:ascii="Times New Roman" w:hAnsi="Times New Roman" w:cs="Times New Roman"/>
          <w:sz w:val="24"/>
          <w:szCs w:val="24"/>
        </w:rPr>
        <w:t>о рецепту.</w:t>
      </w:r>
    </w:p>
    <w:p w:rsidR="00065DA1" w:rsidRPr="00102F40" w:rsidRDefault="00065DA1" w:rsidP="00EF35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2F40">
        <w:rPr>
          <w:rFonts w:ascii="Times New Roman" w:eastAsia="Calibri" w:hAnsi="Times New Roman" w:cs="Times New Roman"/>
          <w:b/>
          <w:sz w:val="24"/>
          <w:szCs w:val="24"/>
        </w:rPr>
        <w:t>Юридическое лицо, на имя которого выдано регистрационное удостоверение</w:t>
      </w:r>
      <w:r w:rsidR="00DB5CED" w:rsidRPr="00102F40">
        <w:rPr>
          <w:rFonts w:ascii="Times New Roman" w:eastAsia="Calibri" w:hAnsi="Times New Roman" w:cs="Times New Roman"/>
          <w:b/>
          <w:sz w:val="24"/>
          <w:szCs w:val="24"/>
        </w:rPr>
        <w:t>/ Организация, принимающая претензии потребителей</w:t>
      </w:r>
    </w:p>
    <w:p w:rsidR="00C726AA" w:rsidRPr="00102F40" w:rsidRDefault="00C726AA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40">
        <w:rPr>
          <w:rFonts w:ascii="Times New Roman" w:hAnsi="Times New Roman" w:cs="Times New Roman"/>
          <w:sz w:val="24"/>
          <w:szCs w:val="24"/>
        </w:rPr>
        <w:t>Сайнсес</w:t>
      </w:r>
      <w:proofErr w:type="spellEnd"/>
      <w:r w:rsidRPr="00102F40">
        <w:rPr>
          <w:rFonts w:ascii="Times New Roman" w:hAnsi="Times New Roman" w:cs="Times New Roman"/>
          <w:sz w:val="24"/>
          <w:szCs w:val="24"/>
        </w:rPr>
        <w:t xml:space="preserve"> ОХФК», Россия</w:t>
      </w:r>
    </w:p>
    <w:p w:rsidR="00091FF4" w:rsidRPr="00102F40" w:rsidRDefault="00091FF4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249033, Калужская обл., г. Обнинск, ул. Горького, д. 4</w:t>
      </w:r>
    </w:p>
    <w:p w:rsidR="00091FF4" w:rsidRPr="00102F40" w:rsidRDefault="00091FF4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Тел/факс: (495) 984-28-40</w:t>
      </w:r>
    </w:p>
    <w:p w:rsidR="00046BDB" w:rsidRPr="00102F40" w:rsidRDefault="00046BDB" w:rsidP="00B903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40">
        <w:rPr>
          <w:rFonts w:ascii="Times New Roman" w:hAnsi="Times New Roman" w:cs="Times New Roman"/>
          <w:b/>
          <w:sz w:val="24"/>
          <w:szCs w:val="24"/>
        </w:rPr>
        <w:t>Производитель</w:t>
      </w:r>
    </w:p>
    <w:p w:rsidR="00046BDB" w:rsidRPr="00102F40" w:rsidRDefault="00EB26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0">
        <w:rPr>
          <w:rFonts w:ascii="Times New Roman" w:hAnsi="Times New Roman" w:cs="Times New Roman"/>
          <w:sz w:val="24"/>
          <w:szCs w:val="24"/>
        </w:rPr>
        <w:t>ООО Фирма «</w:t>
      </w:r>
      <w:r w:rsidR="00DB5CED" w:rsidRPr="00102F40">
        <w:rPr>
          <w:rFonts w:ascii="Times New Roman" w:hAnsi="Times New Roman" w:cs="Times New Roman"/>
          <w:sz w:val="24"/>
          <w:szCs w:val="24"/>
        </w:rPr>
        <w:t>ФЕРМЕНТ</w:t>
      </w:r>
      <w:r w:rsidRPr="00102F40">
        <w:rPr>
          <w:rFonts w:ascii="Times New Roman" w:hAnsi="Times New Roman" w:cs="Times New Roman"/>
          <w:sz w:val="24"/>
          <w:szCs w:val="24"/>
        </w:rPr>
        <w:t xml:space="preserve">», </w:t>
      </w:r>
      <w:r w:rsidR="007C613C" w:rsidRPr="00102F40">
        <w:rPr>
          <w:rFonts w:ascii="Times New Roman" w:hAnsi="Times New Roman" w:cs="Times New Roman"/>
          <w:sz w:val="24"/>
          <w:szCs w:val="24"/>
        </w:rPr>
        <w:t>Россия</w:t>
      </w:r>
    </w:p>
    <w:p w:rsidR="00091FF4" w:rsidRPr="00102F40" w:rsidRDefault="00091FF4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Юридический адрес: 123298, г. Москва, ул. Маршала Малиновского, д.6, корп.1, оф.3</w:t>
      </w:r>
    </w:p>
    <w:p w:rsidR="00091FF4" w:rsidRPr="00102F40" w:rsidRDefault="00091FF4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Адрес места производства: 143422, Московская обл., Красногорский район, с. Петрово-Дальнее, «</w:t>
      </w:r>
      <w:proofErr w:type="spellStart"/>
      <w:r w:rsidRPr="00102F40">
        <w:rPr>
          <w:rFonts w:ascii="Times New Roman" w:eastAsia="Calibri" w:hAnsi="Times New Roman" w:cs="Times New Roman"/>
          <w:sz w:val="24"/>
          <w:szCs w:val="24"/>
        </w:rPr>
        <w:t>Биомед</w:t>
      </w:r>
      <w:proofErr w:type="spellEnd"/>
      <w:r w:rsidRPr="00102F40">
        <w:rPr>
          <w:rFonts w:ascii="Times New Roman" w:eastAsia="Calibri" w:hAnsi="Times New Roman" w:cs="Times New Roman"/>
          <w:sz w:val="24"/>
          <w:szCs w:val="24"/>
        </w:rPr>
        <w:t>» им. Мечникова</w:t>
      </w:r>
    </w:p>
    <w:p w:rsidR="00091FF4" w:rsidRPr="00102F40" w:rsidRDefault="00091FF4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Тел./факс: (495) 635-04-47, (495) 635-04-47</w:t>
      </w:r>
    </w:p>
    <w:p w:rsidR="00B903A7" w:rsidRPr="00102F40" w:rsidRDefault="00B903A7" w:rsidP="00B903A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2F40">
        <w:rPr>
          <w:rFonts w:ascii="Times New Roman" w:eastAsia="Calibri" w:hAnsi="Times New Roman" w:cs="Times New Roman"/>
          <w:b/>
          <w:sz w:val="24"/>
          <w:szCs w:val="24"/>
        </w:rPr>
        <w:t>Выпускающий контроль качества</w:t>
      </w:r>
    </w:p>
    <w:p w:rsidR="00B903A7" w:rsidRPr="00102F40" w:rsidRDefault="00B903A7" w:rsidP="00B903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ЗАО «</w:t>
      </w:r>
      <w:proofErr w:type="spellStart"/>
      <w:r w:rsidRPr="00102F40">
        <w:rPr>
          <w:rFonts w:ascii="Times New Roman" w:eastAsia="Calibri" w:hAnsi="Times New Roman" w:cs="Times New Roman"/>
          <w:sz w:val="24"/>
          <w:szCs w:val="24"/>
        </w:rPr>
        <w:t>Обнинская</w:t>
      </w:r>
      <w:proofErr w:type="spellEnd"/>
      <w:r w:rsidRPr="00102F40">
        <w:rPr>
          <w:rFonts w:ascii="Times New Roman" w:eastAsia="Calibri" w:hAnsi="Times New Roman" w:cs="Times New Roman"/>
          <w:sz w:val="24"/>
          <w:szCs w:val="24"/>
        </w:rPr>
        <w:t xml:space="preserve"> химико-фармацевтическая компания» (ЗАО «ОХФК»), Россия</w:t>
      </w:r>
    </w:p>
    <w:p w:rsidR="00B903A7" w:rsidRPr="00102F40" w:rsidRDefault="00B903A7" w:rsidP="00B903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 xml:space="preserve">249036, Калужская обл., г. Обнинск, Киевское шоссе, </w:t>
      </w:r>
      <w:proofErr w:type="spellStart"/>
      <w:r w:rsidRPr="00102F40">
        <w:rPr>
          <w:rFonts w:ascii="Times New Roman" w:eastAsia="Calibri" w:hAnsi="Times New Roman" w:cs="Times New Roman"/>
          <w:sz w:val="24"/>
          <w:szCs w:val="24"/>
        </w:rPr>
        <w:t>зд</w:t>
      </w:r>
      <w:proofErr w:type="spellEnd"/>
      <w:r w:rsidRPr="00102F40">
        <w:rPr>
          <w:rFonts w:ascii="Times New Roman" w:eastAsia="Calibri" w:hAnsi="Times New Roman" w:cs="Times New Roman"/>
          <w:sz w:val="24"/>
          <w:szCs w:val="24"/>
        </w:rPr>
        <w:t xml:space="preserve">. 103, </w:t>
      </w:r>
      <w:proofErr w:type="spellStart"/>
      <w:r w:rsidRPr="00102F40">
        <w:rPr>
          <w:rFonts w:ascii="Times New Roman" w:eastAsia="Calibri" w:hAnsi="Times New Roman" w:cs="Times New Roman"/>
          <w:sz w:val="24"/>
          <w:szCs w:val="24"/>
        </w:rPr>
        <w:t>зд</w:t>
      </w:r>
      <w:proofErr w:type="spellEnd"/>
      <w:r w:rsidRPr="00102F40">
        <w:rPr>
          <w:rFonts w:ascii="Times New Roman" w:eastAsia="Calibri" w:hAnsi="Times New Roman" w:cs="Times New Roman"/>
          <w:sz w:val="24"/>
          <w:szCs w:val="24"/>
        </w:rPr>
        <w:t>. 107</w:t>
      </w:r>
    </w:p>
    <w:p w:rsidR="00B903A7" w:rsidRPr="00102F40" w:rsidRDefault="00B903A7" w:rsidP="00B903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F40">
        <w:rPr>
          <w:rFonts w:ascii="Times New Roman" w:eastAsia="Calibri" w:hAnsi="Times New Roman" w:cs="Times New Roman"/>
          <w:sz w:val="24"/>
          <w:szCs w:val="24"/>
        </w:rPr>
        <w:t>Тел./факс: (48439) 6-47-41, 6-35-84, 6-65-35; e-</w:t>
      </w:r>
      <w:proofErr w:type="spellStart"/>
      <w:r w:rsidRPr="00102F40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102F40">
        <w:rPr>
          <w:rFonts w:ascii="Times New Roman" w:eastAsia="Calibri" w:hAnsi="Times New Roman" w:cs="Times New Roman"/>
          <w:sz w:val="24"/>
          <w:szCs w:val="24"/>
        </w:rPr>
        <w:t>: obninsk@mirpharm.ru</w:t>
      </w:r>
    </w:p>
    <w:p w:rsidR="00B903A7" w:rsidRPr="00102F40" w:rsidRDefault="00B903A7" w:rsidP="00B903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3A7" w:rsidRPr="00102F40" w:rsidRDefault="00B903A7" w:rsidP="00EF35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DA1" w:rsidRPr="00102F40" w:rsidRDefault="00065DA1" w:rsidP="00EF35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658" w:rsidRPr="00102F40" w:rsidRDefault="00EB26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658" w:rsidRPr="00102F40" w:rsidRDefault="00EB265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13C" w:rsidRPr="00102F40" w:rsidRDefault="007C613C" w:rsidP="00EF35F4">
      <w:pPr>
        <w:pStyle w:val="1"/>
        <w:tabs>
          <w:tab w:val="left" w:pos="3451"/>
        </w:tabs>
        <w:spacing w:after="0" w:line="360" w:lineRule="auto"/>
        <w:rPr>
          <w:rFonts w:ascii="Times New Roman" w:hAnsi="Times New Roman"/>
          <w:szCs w:val="28"/>
        </w:rPr>
      </w:pPr>
      <w:r w:rsidRPr="00102F40">
        <w:rPr>
          <w:rFonts w:ascii="Times New Roman" w:hAnsi="Times New Roman"/>
          <w:szCs w:val="28"/>
        </w:rPr>
        <w:t>Генеральный</w:t>
      </w:r>
      <w:r w:rsidR="00715D09" w:rsidRPr="00102F40">
        <w:rPr>
          <w:rFonts w:ascii="Times New Roman" w:hAnsi="Times New Roman"/>
          <w:szCs w:val="28"/>
        </w:rPr>
        <w:t xml:space="preserve"> </w:t>
      </w:r>
      <w:r w:rsidRPr="00102F40">
        <w:rPr>
          <w:rFonts w:ascii="Times New Roman" w:hAnsi="Times New Roman"/>
          <w:szCs w:val="28"/>
        </w:rPr>
        <w:t xml:space="preserve">директор </w:t>
      </w:r>
    </w:p>
    <w:p w:rsidR="007C613C" w:rsidRPr="00F21860" w:rsidRDefault="007C613C" w:rsidP="00EF35F4">
      <w:pPr>
        <w:pStyle w:val="1"/>
        <w:tabs>
          <w:tab w:val="left" w:pos="3451"/>
        </w:tabs>
        <w:spacing w:after="0" w:line="360" w:lineRule="auto"/>
        <w:rPr>
          <w:rFonts w:ascii="Times New Roman" w:hAnsi="Times New Roman"/>
          <w:szCs w:val="28"/>
        </w:rPr>
      </w:pPr>
      <w:r w:rsidRPr="00102F40">
        <w:rPr>
          <w:rFonts w:ascii="Times New Roman" w:hAnsi="Times New Roman"/>
          <w:szCs w:val="28"/>
        </w:rPr>
        <w:t>ООО «</w:t>
      </w:r>
      <w:proofErr w:type="spellStart"/>
      <w:r w:rsidRPr="00102F40">
        <w:rPr>
          <w:rFonts w:ascii="Times New Roman" w:hAnsi="Times New Roman"/>
          <w:szCs w:val="28"/>
        </w:rPr>
        <w:t>Лайф</w:t>
      </w:r>
      <w:proofErr w:type="spellEnd"/>
      <w:r w:rsidRPr="00102F40">
        <w:rPr>
          <w:rFonts w:ascii="Times New Roman" w:hAnsi="Times New Roman"/>
          <w:szCs w:val="28"/>
        </w:rPr>
        <w:t xml:space="preserve"> </w:t>
      </w:r>
      <w:proofErr w:type="spellStart"/>
      <w:r w:rsidRPr="00102F40">
        <w:rPr>
          <w:rFonts w:ascii="Times New Roman" w:hAnsi="Times New Roman"/>
          <w:szCs w:val="28"/>
        </w:rPr>
        <w:t>Сайнсес</w:t>
      </w:r>
      <w:proofErr w:type="spellEnd"/>
      <w:r w:rsidRPr="00102F40">
        <w:rPr>
          <w:rFonts w:ascii="Times New Roman" w:hAnsi="Times New Roman"/>
          <w:szCs w:val="28"/>
        </w:rPr>
        <w:t xml:space="preserve"> ОХФК» </w:t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</w:r>
      <w:r w:rsidRPr="00102F40">
        <w:rPr>
          <w:rFonts w:ascii="Times New Roman" w:hAnsi="Times New Roman"/>
          <w:szCs w:val="28"/>
        </w:rPr>
        <w:tab/>
        <w:t>Фомин Л.А.</w:t>
      </w:r>
    </w:p>
    <w:p w:rsidR="000D6A78" w:rsidRDefault="000D6A78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35" w:rsidRPr="00046BDB" w:rsidRDefault="00C21835" w:rsidP="00EF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835" w:rsidRPr="00046BDB" w:rsidSect="001C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2B" w:rsidRDefault="0081122B" w:rsidP="00046BDB">
      <w:pPr>
        <w:spacing w:after="0" w:line="240" w:lineRule="auto"/>
      </w:pPr>
      <w:r>
        <w:separator/>
      </w:r>
    </w:p>
  </w:endnote>
  <w:endnote w:type="continuationSeparator" w:id="0">
    <w:p w:rsidR="0081122B" w:rsidRDefault="0081122B" w:rsidP="0004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 Cyr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2B" w:rsidRDefault="0081122B" w:rsidP="00046BDB">
      <w:pPr>
        <w:spacing w:after="0" w:line="240" w:lineRule="auto"/>
      </w:pPr>
      <w:r>
        <w:separator/>
      </w:r>
    </w:p>
  </w:footnote>
  <w:footnote w:type="continuationSeparator" w:id="0">
    <w:p w:rsidR="0081122B" w:rsidRDefault="0081122B" w:rsidP="0004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5B9"/>
    <w:multiLevelType w:val="hybridMultilevel"/>
    <w:tmpl w:val="12CE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C214E"/>
    <w:multiLevelType w:val="hybridMultilevel"/>
    <w:tmpl w:val="C94E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7D64"/>
    <w:multiLevelType w:val="hybridMultilevel"/>
    <w:tmpl w:val="5FC6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17CC8"/>
    <w:multiLevelType w:val="hybridMultilevel"/>
    <w:tmpl w:val="CFB8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DB"/>
    <w:rsid w:val="00037874"/>
    <w:rsid w:val="00040FAF"/>
    <w:rsid w:val="00044989"/>
    <w:rsid w:val="00046BDB"/>
    <w:rsid w:val="00065DA1"/>
    <w:rsid w:val="000661D4"/>
    <w:rsid w:val="00081565"/>
    <w:rsid w:val="00084FD4"/>
    <w:rsid w:val="00090C96"/>
    <w:rsid w:val="00091FF4"/>
    <w:rsid w:val="000A7549"/>
    <w:rsid w:val="000D0FA0"/>
    <w:rsid w:val="000D6A78"/>
    <w:rsid w:val="000E3553"/>
    <w:rsid w:val="00102F40"/>
    <w:rsid w:val="00112A20"/>
    <w:rsid w:val="00146C8C"/>
    <w:rsid w:val="00154288"/>
    <w:rsid w:val="00176BF7"/>
    <w:rsid w:val="001C4C85"/>
    <w:rsid w:val="001D3BA3"/>
    <w:rsid w:val="001F693F"/>
    <w:rsid w:val="00203474"/>
    <w:rsid w:val="00222C58"/>
    <w:rsid w:val="00243CFC"/>
    <w:rsid w:val="0025224D"/>
    <w:rsid w:val="00253E77"/>
    <w:rsid w:val="002603DA"/>
    <w:rsid w:val="00281582"/>
    <w:rsid w:val="002C6D6B"/>
    <w:rsid w:val="00303055"/>
    <w:rsid w:val="0032167D"/>
    <w:rsid w:val="0032204C"/>
    <w:rsid w:val="00333F26"/>
    <w:rsid w:val="003340CC"/>
    <w:rsid w:val="00353713"/>
    <w:rsid w:val="003538BC"/>
    <w:rsid w:val="00373B34"/>
    <w:rsid w:val="00373F5E"/>
    <w:rsid w:val="00374645"/>
    <w:rsid w:val="003858B6"/>
    <w:rsid w:val="003A4FFF"/>
    <w:rsid w:val="003D25BE"/>
    <w:rsid w:val="003D2B68"/>
    <w:rsid w:val="004508EF"/>
    <w:rsid w:val="00453ED5"/>
    <w:rsid w:val="00466780"/>
    <w:rsid w:val="00484129"/>
    <w:rsid w:val="00494E9C"/>
    <w:rsid w:val="004C3C80"/>
    <w:rsid w:val="004D6358"/>
    <w:rsid w:val="004D7AD8"/>
    <w:rsid w:val="004F5AC5"/>
    <w:rsid w:val="0051236B"/>
    <w:rsid w:val="005161E1"/>
    <w:rsid w:val="00523ECF"/>
    <w:rsid w:val="00536838"/>
    <w:rsid w:val="00545011"/>
    <w:rsid w:val="005538E7"/>
    <w:rsid w:val="005616AD"/>
    <w:rsid w:val="00564E5F"/>
    <w:rsid w:val="00573ED3"/>
    <w:rsid w:val="005D1DFD"/>
    <w:rsid w:val="005D5EE0"/>
    <w:rsid w:val="005E1CC3"/>
    <w:rsid w:val="005E5121"/>
    <w:rsid w:val="005F4E7A"/>
    <w:rsid w:val="00600A27"/>
    <w:rsid w:val="00612B1E"/>
    <w:rsid w:val="006149D8"/>
    <w:rsid w:val="00620FA6"/>
    <w:rsid w:val="00626320"/>
    <w:rsid w:val="00627698"/>
    <w:rsid w:val="00641EE3"/>
    <w:rsid w:val="006952C2"/>
    <w:rsid w:val="006958BB"/>
    <w:rsid w:val="00696D79"/>
    <w:rsid w:val="00705D23"/>
    <w:rsid w:val="00715D09"/>
    <w:rsid w:val="007205F8"/>
    <w:rsid w:val="007369A0"/>
    <w:rsid w:val="007416F9"/>
    <w:rsid w:val="0074295B"/>
    <w:rsid w:val="0075508C"/>
    <w:rsid w:val="00763BB2"/>
    <w:rsid w:val="007B0755"/>
    <w:rsid w:val="007C613C"/>
    <w:rsid w:val="007D0005"/>
    <w:rsid w:val="007D5CAF"/>
    <w:rsid w:val="0081122B"/>
    <w:rsid w:val="00816D75"/>
    <w:rsid w:val="008324C5"/>
    <w:rsid w:val="00854C2A"/>
    <w:rsid w:val="00856743"/>
    <w:rsid w:val="00862AF9"/>
    <w:rsid w:val="00873241"/>
    <w:rsid w:val="00877B21"/>
    <w:rsid w:val="008909CE"/>
    <w:rsid w:val="008B0049"/>
    <w:rsid w:val="008D3802"/>
    <w:rsid w:val="008E690A"/>
    <w:rsid w:val="00907C48"/>
    <w:rsid w:val="009351B8"/>
    <w:rsid w:val="00943FD5"/>
    <w:rsid w:val="00953A57"/>
    <w:rsid w:val="00972018"/>
    <w:rsid w:val="0097201D"/>
    <w:rsid w:val="00976D81"/>
    <w:rsid w:val="009834E2"/>
    <w:rsid w:val="0099204E"/>
    <w:rsid w:val="0099487D"/>
    <w:rsid w:val="00994C79"/>
    <w:rsid w:val="009A5FE6"/>
    <w:rsid w:val="009B1319"/>
    <w:rsid w:val="009D761B"/>
    <w:rsid w:val="00A029DB"/>
    <w:rsid w:val="00A26F8D"/>
    <w:rsid w:val="00A43A6A"/>
    <w:rsid w:val="00A603C7"/>
    <w:rsid w:val="00A817E9"/>
    <w:rsid w:val="00A85693"/>
    <w:rsid w:val="00AC6065"/>
    <w:rsid w:val="00AD0BF1"/>
    <w:rsid w:val="00AE63FF"/>
    <w:rsid w:val="00AF6E11"/>
    <w:rsid w:val="00B007D8"/>
    <w:rsid w:val="00B34592"/>
    <w:rsid w:val="00B43C4F"/>
    <w:rsid w:val="00B667D8"/>
    <w:rsid w:val="00B903A7"/>
    <w:rsid w:val="00B93944"/>
    <w:rsid w:val="00BA7851"/>
    <w:rsid w:val="00BB3383"/>
    <w:rsid w:val="00BB4748"/>
    <w:rsid w:val="00BC2CF6"/>
    <w:rsid w:val="00BF4B1A"/>
    <w:rsid w:val="00C10216"/>
    <w:rsid w:val="00C13C26"/>
    <w:rsid w:val="00C21835"/>
    <w:rsid w:val="00C3386A"/>
    <w:rsid w:val="00C42A0F"/>
    <w:rsid w:val="00C60E7A"/>
    <w:rsid w:val="00C61AB1"/>
    <w:rsid w:val="00C726AA"/>
    <w:rsid w:val="00C81BDA"/>
    <w:rsid w:val="00CA0FDD"/>
    <w:rsid w:val="00CF55CB"/>
    <w:rsid w:val="00CF6063"/>
    <w:rsid w:val="00D0119A"/>
    <w:rsid w:val="00D0203E"/>
    <w:rsid w:val="00D03963"/>
    <w:rsid w:val="00D115E1"/>
    <w:rsid w:val="00D50E64"/>
    <w:rsid w:val="00D75ED8"/>
    <w:rsid w:val="00DA24A6"/>
    <w:rsid w:val="00DA530A"/>
    <w:rsid w:val="00DB17B3"/>
    <w:rsid w:val="00DB5CED"/>
    <w:rsid w:val="00DB75D9"/>
    <w:rsid w:val="00DD38B9"/>
    <w:rsid w:val="00E400A7"/>
    <w:rsid w:val="00E97824"/>
    <w:rsid w:val="00EA35C4"/>
    <w:rsid w:val="00EB2658"/>
    <w:rsid w:val="00EF35F4"/>
    <w:rsid w:val="00F037DC"/>
    <w:rsid w:val="00F0481E"/>
    <w:rsid w:val="00F329D7"/>
    <w:rsid w:val="00F51432"/>
    <w:rsid w:val="00F57164"/>
    <w:rsid w:val="00F83825"/>
    <w:rsid w:val="00F90213"/>
    <w:rsid w:val="00FA1402"/>
    <w:rsid w:val="00FB50FA"/>
    <w:rsid w:val="00F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408"/>
  <w15:docId w15:val="{36662DD5-B390-4D49-9C89-D3D0C9C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BDB"/>
  </w:style>
  <w:style w:type="paragraph" w:styleId="a5">
    <w:name w:val="footer"/>
    <w:basedOn w:val="a"/>
    <w:link w:val="a6"/>
    <w:uiPriority w:val="99"/>
    <w:unhideWhenUsed/>
    <w:rsid w:val="0004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BDB"/>
  </w:style>
  <w:style w:type="paragraph" w:styleId="a7">
    <w:name w:val="Balloon Text"/>
    <w:basedOn w:val="a"/>
    <w:link w:val="a8"/>
    <w:uiPriority w:val="99"/>
    <w:semiHidden/>
    <w:unhideWhenUsed/>
    <w:rsid w:val="0004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B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4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uiPriority w:val="99"/>
    <w:rsid w:val="007C613C"/>
    <w:pPr>
      <w:widowControl w:val="0"/>
      <w:spacing w:after="120" w:line="240" w:lineRule="auto"/>
    </w:pPr>
    <w:rPr>
      <w:rFonts w:ascii="Aria Cyr" w:eastAsia="Times New Roman" w:hAnsi="Aria Cyr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C606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606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C606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606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C6065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74645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A856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FF50-4F28-DE44-9535-6FBC6AEB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Бугаева</dc:creator>
  <cp:lastModifiedBy>Andrey Zakharov</cp:lastModifiedBy>
  <cp:revision>6</cp:revision>
  <dcterms:created xsi:type="dcterms:W3CDTF">2017-11-28T11:12:00Z</dcterms:created>
  <dcterms:modified xsi:type="dcterms:W3CDTF">2019-11-01T08:47:00Z</dcterms:modified>
</cp:coreProperties>
</file>