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324" w:rsidRPr="00EE3A60" w:rsidRDefault="00FA4324" w:rsidP="00C07E53">
      <w:pPr>
        <w:spacing w:line="331" w:lineRule="auto"/>
        <w:jc w:val="center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sz w:val="15"/>
          <w:szCs w:val="15"/>
        </w:rPr>
        <w:t>МИНИСТЕРСТВО ЗДРАВООХРАНЕНИЯ РОССИЙСКОЙ ФЕДЕРАЦИИ</w:t>
      </w:r>
    </w:p>
    <w:p w:rsidR="00C67CCC" w:rsidRDefault="00C67CCC" w:rsidP="00C07E53">
      <w:pPr>
        <w:spacing w:line="331" w:lineRule="auto"/>
        <w:jc w:val="center"/>
        <w:rPr>
          <w:rFonts w:ascii="Arial" w:hAnsi="Arial" w:cs="Arial"/>
          <w:b/>
          <w:caps/>
          <w:sz w:val="15"/>
          <w:szCs w:val="15"/>
        </w:rPr>
      </w:pPr>
    </w:p>
    <w:p w:rsidR="007E1382" w:rsidRPr="007E1382" w:rsidRDefault="007E1382" w:rsidP="007E1382">
      <w:pPr>
        <w:spacing w:line="312" w:lineRule="auto"/>
        <w:jc w:val="center"/>
        <w:rPr>
          <w:rFonts w:ascii="Arial" w:hAnsi="Arial" w:cs="Arial"/>
          <w:caps/>
          <w:sz w:val="15"/>
          <w:szCs w:val="15"/>
        </w:rPr>
      </w:pPr>
      <w:r w:rsidRPr="007E1382">
        <w:rPr>
          <w:rFonts w:ascii="Arial" w:hAnsi="Arial" w:cs="Arial"/>
          <w:caps/>
          <w:sz w:val="15"/>
          <w:szCs w:val="15"/>
        </w:rPr>
        <w:t xml:space="preserve">ИНСТРУКЦИЯ </w:t>
      </w:r>
    </w:p>
    <w:p w:rsidR="007E1382" w:rsidRPr="007E1382" w:rsidRDefault="007E1382" w:rsidP="007E1382">
      <w:pPr>
        <w:shd w:val="clear" w:color="auto" w:fill="FFFFFF"/>
        <w:spacing w:line="312" w:lineRule="auto"/>
        <w:jc w:val="center"/>
        <w:rPr>
          <w:rFonts w:ascii="Arial" w:hAnsi="Arial" w:cs="Arial"/>
          <w:sz w:val="15"/>
          <w:szCs w:val="15"/>
        </w:rPr>
      </w:pPr>
      <w:r w:rsidRPr="007E1382">
        <w:rPr>
          <w:rFonts w:ascii="Arial" w:hAnsi="Arial" w:cs="Arial"/>
          <w:sz w:val="15"/>
          <w:szCs w:val="15"/>
        </w:rPr>
        <w:t>ПО МЕДИЦИНСКОМУ ПРИМЕНЕНИЮ ЛЕКАРСТВЕННОГО ПРЕПАРАТА</w:t>
      </w:r>
    </w:p>
    <w:p w:rsidR="00397F35" w:rsidRDefault="00397F35" w:rsidP="00C07E53">
      <w:pPr>
        <w:pBdr>
          <w:bottom w:val="single" w:sz="4" w:space="0" w:color="auto"/>
        </w:pBdr>
        <w:spacing w:line="331" w:lineRule="auto"/>
        <w:jc w:val="center"/>
        <w:rPr>
          <w:rFonts w:ascii="Arial" w:hAnsi="Arial" w:cs="Arial"/>
          <w:b/>
          <w:sz w:val="15"/>
          <w:szCs w:val="15"/>
        </w:rPr>
      </w:pPr>
    </w:p>
    <w:p w:rsidR="00FA4324" w:rsidRPr="00397F35" w:rsidRDefault="008530DC" w:rsidP="00C07E53">
      <w:pPr>
        <w:pBdr>
          <w:bottom w:val="single" w:sz="4" w:space="0" w:color="auto"/>
        </w:pBdr>
        <w:spacing w:line="331" w:lineRule="auto"/>
        <w:jc w:val="center"/>
        <w:rPr>
          <w:rFonts w:ascii="Arial" w:hAnsi="Arial" w:cs="Arial"/>
          <w:sz w:val="18"/>
          <w:szCs w:val="18"/>
        </w:rPr>
      </w:pPr>
      <w:r w:rsidRPr="00397F35">
        <w:rPr>
          <w:rFonts w:ascii="Arial" w:hAnsi="Arial" w:cs="Arial"/>
          <w:b/>
          <w:sz w:val="18"/>
          <w:szCs w:val="18"/>
        </w:rPr>
        <w:t>ВЕГАПРАТ</w:t>
      </w:r>
      <w:r w:rsidR="00FA4324" w:rsidRPr="00397F35">
        <w:rPr>
          <w:rFonts w:ascii="Arial" w:hAnsi="Arial" w:cs="Arial"/>
          <w:sz w:val="18"/>
          <w:szCs w:val="18"/>
        </w:rPr>
        <w:t xml:space="preserve"> </w:t>
      </w:r>
    </w:p>
    <w:p w:rsidR="00FA4324" w:rsidRPr="00EE3A60" w:rsidRDefault="00FA4324" w:rsidP="00C07E53">
      <w:pPr>
        <w:spacing w:line="331" w:lineRule="auto"/>
        <w:jc w:val="center"/>
        <w:rPr>
          <w:rFonts w:ascii="Arial" w:hAnsi="Arial" w:cs="Arial"/>
          <w:caps/>
          <w:sz w:val="15"/>
          <w:szCs w:val="15"/>
        </w:rPr>
      </w:pPr>
      <w:r w:rsidRPr="00EE3A60">
        <w:rPr>
          <w:rFonts w:ascii="Arial" w:hAnsi="Arial" w:cs="Arial"/>
          <w:sz w:val="15"/>
          <w:szCs w:val="15"/>
        </w:rPr>
        <w:t>наименование лекарственного препарата</w:t>
      </w:r>
    </w:p>
    <w:p w:rsidR="00C07E53" w:rsidRDefault="00C07E53" w:rsidP="00C07E53">
      <w:pPr>
        <w:spacing w:line="331" w:lineRule="auto"/>
        <w:jc w:val="both"/>
        <w:rPr>
          <w:rFonts w:ascii="Arial" w:hAnsi="Arial" w:cs="Arial"/>
          <w:b/>
          <w:sz w:val="15"/>
          <w:szCs w:val="15"/>
        </w:rPr>
      </w:pP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b/>
          <w:sz w:val="15"/>
          <w:szCs w:val="15"/>
        </w:rPr>
        <w:t>Регистрационный номер:</w:t>
      </w:r>
      <w:r w:rsidR="0054690A" w:rsidRPr="00EE3A60">
        <w:rPr>
          <w:rFonts w:ascii="Arial" w:hAnsi="Arial" w:cs="Arial"/>
          <w:b/>
          <w:sz w:val="15"/>
          <w:szCs w:val="15"/>
        </w:rPr>
        <w:t xml:space="preserve"> </w:t>
      </w:r>
      <w:r w:rsidR="0054690A" w:rsidRPr="00142535">
        <w:rPr>
          <w:rFonts w:ascii="Arial" w:hAnsi="Arial" w:cs="Arial"/>
          <w:sz w:val="15"/>
          <w:szCs w:val="15"/>
        </w:rPr>
        <w:t>ЛП-003311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color w:val="000000"/>
          <w:sz w:val="15"/>
          <w:szCs w:val="15"/>
        </w:rPr>
      </w:pPr>
      <w:r w:rsidRPr="00EE3A60">
        <w:rPr>
          <w:rFonts w:ascii="Arial" w:hAnsi="Arial" w:cs="Arial"/>
          <w:b/>
          <w:color w:val="000000"/>
          <w:sz w:val="15"/>
          <w:szCs w:val="15"/>
        </w:rPr>
        <w:t>Торговое название препарата:</w:t>
      </w:r>
      <w:r w:rsidRPr="00EE3A60"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 w:rsidRPr="00EE3A60">
        <w:rPr>
          <w:rFonts w:ascii="Arial" w:hAnsi="Arial" w:cs="Arial"/>
          <w:color w:val="000000"/>
          <w:sz w:val="15"/>
          <w:szCs w:val="15"/>
        </w:rPr>
        <w:t>Вегапрат</w:t>
      </w:r>
      <w:proofErr w:type="spellEnd"/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b/>
          <w:color w:val="000000"/>
          <w:sz w:val="15"/>
          <w:szCs w:val="15"/>
        </w:rPr>
      </w:pPr>
      <w:r w:rsidRPr="00EE3A60">
        <w:rPr>
          <w:rFonts w:ascii="Arial" w:hAnsi="Arial" w:cs="Arial"/>
          <w:b/>
          <w:color w:val="000000"/>
          <w:sz w:val="15"/>
          <w:szCs w:val="15"/>
        </w:rPr>
        <w:t>Международное непатентованное название:</w:t>
      </w:r>
      <w:r w:rsidRPr="00EE3A60"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 w:rsidRPr="00EE3A60">
        <w:rPr>
          <w:rFonts w:ascii="Arial" w:hAnsi="Arial" w:cs="Arial"/>
          <w:color w:val="000000"/>
          <w:sz w:val="15"/>
          <w:szCs w:val="15"/>
        </w:rPr>
        <w:t>Прукалоприд</w:t>
      </w:r>
      <w:proofErr w:type="spellEnd"/>
      <w:r w:rsidRPr="00EE3A60">
        <w:rPr>
          <w:rFonts w:ascii="Arial" w:hAnsi="Arial" w:cs="Arial"/>
          <w:b/>
          <w:color w:val="000000"/>
          <w:sz w:val="15"/>
          <w:szCs w:val="15"/>
        </w:rPr>
        <w:t xml:space="preserve"> 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b/>
          <w:color w:val="000000"/>
          <w:sz w:val="15"/>
          <w:szCs w:val="15"/>
        </w:rPr>
        <w:t>Лекарственная форма:</w:t>
      </w:r>
      <w:r w:rsidRPr="00EE3A60">
        <w:rPr>
          <w:rFonts w:ascii="Arial" w:hAnsi="Arial" w:cs="Arial"/>
          <w:color w:val="000000"/>
          <w:sz w:val="15"/>
          <w:szCs w:val="15"/>
        </w:rPr>
        <w:t xml:space="preserve"> таблетки, покрытые пленочной оболочкой 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b/>
          <w:color w:val="000000"/>
          <w:sz w:val="15"/>
          <w:szCs w:val="15"/>
        </w:rPr>
      </w:pPr>
      <w:r w:rsidRPr="00EE3A60">
        <w:rPr>
          <w:rFonts w:ascii="Arial" w:hAnsi="Arial" w:cs="Arial"/>
          <w:b/>
          <w:color w:val="000000"/>
          <w:sz w:val="15"/>
          <w:szCs w:val="15"/>
        </w:rPr>
        <w:t>Состав на одну таблетку:</w:t>
      </w:r>
    </w:p>
    <w:tbl>
      <w:tblPr>
        <w:tblW w:w="581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851"/>
        <w:gridCol w:w="1417"/>
      </w:tblGrid>
      <w:tr w:rsidR="00FA4324" w:rsidRPr="00EE3A60" w:rsidTr="008C12B2">
        <w:trPr>
          <w:trHeight w:val="80"/>
        </w:trPr>
        <w:tc>
          <w:tcPr>
            <w:tcW w:w="5812" w:type="dxa"/>
            <w:gridSpan w:val="3"/>
            <w:vAlign w:val="center"/>
          </w:tcPr>
          <w:p w:rsidR="00FA4324" w:rsidRPr="00EE3A60" w:rsidRDefault="008C12B2" w:rsidP="00C07E53">
            <w:pPr>
              <w:widowControl w:val="0"/>
              <w:autoSpaceDE w:val="0"/>
              <w:autoSpaceDN w:val="0"/>
              <w:adjustRightInd w:val="0"/>
              <w:spacing w:line="331" w:lineRule="auto"/>
              <w:ind w:left="-74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Действующее</w:t>
            </w:r>
            <w:r w:rsidR="00FA4324" w:rsidRPr="00EE3A60">
              <w:rPr>
                <w:rFonts w:ascii="Arial" w:hAnsi="Arial" w:cs="Arial"/>
                <w:bCs/>
                <w:i/>
                <w:sz w:val="15"/>
                <w:szCs w:val="15"/>
              </w:rPr>
              <w:t xml:space="preserve"> вещество:</w:t>
            </w:r>
          </w:p>
        </w:tc>
      </w:tr>
      <w:tr w:rsidR="00FA4324" w:rsidRPr="00EE3A60" w:rsidTr="00B6041B">
        <w:trPr>
          <w:trHeight w:val="326"/>
        </w:trPr>
        <w:tc>
          <w:tcPr>
            <w:tcW w:w="3544" w:type="dxa"/>
            <w:vAlign w:val="center"/>
          </w:tcPr>
          <w:p w:rsidR="00FA4324" w:rsidRPr="00EE3A60" w:rsidRDefault="00FA4324" w:rsidP="00C07E53">
            <w:pPr>
              <w:suppressAutoHyphens/>
              <w:spacing w:line="331" w:lineRule="auto"/>
              <w:ind w:left="-74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EE3A60">
              <w:rPr>
                <w:rFonts w:ascii="Arial" w:hAnsi="Arial" w:cs="Arial"/>
                <w:sz w:val="15"/>
                <w:szCs w:val="15"/>
              </w:rPr>
              <w:t>Прукалоприда</w:t>
            </w:r>
            <w:proofErr w:type="spellEnd"/>
            <w:r w:rsidRPr="00EE3A60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EE3A60">
              <w:rPr>
                <w:rFonts w:ascii="Arial" w:hAnsi="Arial" w:cs="Arial"/>
                <w:sz w:val="15"/>
                <w:szCs w:val="15"/>
              </w:rPr>
              <w:t>сукцинат</w:t>
            </w:r>
            <w:proofErr w:type="spellEnd"/>
            <w:r w:rsidRPr="00EE3A60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:rsidR="00FA4324" w:rsidRPr="00EE3A60" w:rsidRDefault="00FA4324" w:rsidP="00C07E53">
            <w:pPr>
              <w:suppressAutoHyphens/>
              <w:spacing w:line="331" w:lineRule="auto"/>
              <w:ind w:left="-74"/>
              <w:rPr>
                <w:rFonts w:ascii="Arial" w:hAnsi="Arial" w:cs="Arial"/>
                <w:sz w:val="15"/>
                <w:szCs w:val="15"/>
              </w:rPr>
            </w:pPr>
            <w:r w:rsidRPr="00EE3A60">
              <w:rPr>
                <w:rFonts w:ascii="Arial" w:hAnsi="Arial" w:cs="Arial"/>
                <w:sz w:val="15"/>
                <w:szCs w:val="15"/>
              </w:rPr>
              <w:t xml:space="preserve">в пересчете на </w:t>
            </w:r>
            <w:proofErr w:type="spellStart"/>
            <w:r w:rsidR="008C12B2">
              <w:rPr>
                <w:rFonts w:ascii="Arial" w:hAnsi="Arial" w:cs="Arial"/>
                <w:sz w:val="15"/>
                <w:szCs w:val="15"/>
              </w:rPr>
              <w:t>п</w:t>
            </w:r>
            <w:r w:rsidRPr="00EE3A60">
              <w:rPr>
                <w:rFonts w:ascii="Arial" w:hAnsi="Arial" w:cs="Arial"/>
                <w:sz w:val="15"/>
                <w:szCs w:val="15"/>
              </w:rPr>
              <w:t>рукалоприд</w:t>
            </w:r>
            <w:proofErr w:type="spellEnd"/>
          </w:p>
        </w:tc>
        <w:tc>
          <w:tcPr>
            <w:tcW w:w="851" w:type="dxa"/>
          </w:tcPr>
          <w:p w:rsidR="00FA4324" w:rsidRPr="00EE3A60" w:rsidRDefault="006B11CE" w:rsidP="00C07E53">
            <w:pPr>
              <w:spacing w:line="331" w:lineRule="auto"/>
              <w:ind w:left="-74"/>
              <w:rPr>
                <w:rFonts w:ascii="Arial" w:hAnsi="Arial" w:cs="Arial"/>
                <w:sz w:val="15"/>
                <w:szCs w:val="15"/>
              </w:rPr>
            </w:pPr>
            <w:r w:rsidRPr="00EE3A6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103C25" w:rsidRPr="00EE3A6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FA4324" w:rsidRPr="00EE3A60">
              <w:rPr>
                <w:rFonts w:ascii="Arial" w:hAnsi="Arial" w:cs="Arial"/>
                <w:sz w:val="15"/>
                <w:szCs w:val="15"/>
              </w:rPr>
              <w:t>1,321 мг</w:t>
            </w:r>
          </w:p>
          <w:p w:rsidR="00FA4324" w:rsidRPr="00EE3A60" w:rsidRDefault="006B11CE" w:rsidP="00C07E53">
            <w:pPr>
              <w:spacing w:line="331" w:lineRule="auto"/>
              <w:ind w:left="-74"/>
              <w:rPr>
                <w:rFonts w:ascii="Arial" w:hAnsi="Arial" w:cs="Arial"/>
                <w:sz w:val="15"/>
                <w:szCs w:val="15"/>
              </w:rPr>
            </w:pPr>
            <w:r w:rsidRPr="00EE3A6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103C25" w:rsidRPr="00EE3A6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FA4324" w:rsidRPr="00EE3A60">
              <w:rPr>
                <w:rFonts w:ascii="Arial" w:hAnsi="Arial" w:cs="Arial"/>
                <w:sz w:val="15"/>
                <w:szCs w:val="15"/>
              </w:rPr>
              <w:t>1,000 мг</w:t>
            </w:r>
          </w:p>
        </w:tc>
        <w:tc>
          <w:tcPr>
            <w:tcW w:w="1417" w:type="dxa"/>
          </w:tcPr>
          <w:p w:rsidR="00FA4324" w:rsidRPr="00EE3A60" w:rsidRDefault="00103C25" w:rsidP="00C07E53">
            <w:pPr>
              <w:spacing w:line="331" w:lineRule="auto"/>
              <w:ind w:left="-74"/>
              <w:rPr>
                <w:rFonts w:ascii="Arial" w:hAnsi="Arial" w:cs="Arial"/>
                <w:sz w:val="15"/>
                <w:szCs w:val="15"/>
              </w:rPr>
            </w:pPr>
            <w:r w:rsidRPr="00EE3A6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767BD4" w:rsidRPr="00EE3A60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EE3A6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FA4324" w:rsidRPr="00EE3A60">
              <w:rPr>
                <w:rFonts w:ascii="Arial" w:hAnsi="Arial" w:cs="Arial"/>
                <w:sz w:val="15"/>
                <w:szCs w:val="15"/>
              </w:rPr>
              <w:t>2,6</w:t>
            </w:r>
            <w:r w:rsidR="00FA4324" w:rsidRPr="00EE3A60">
              <w:rPr>
                <w:rFonts w:ascii="Arial" w:hAnsi="Arial" w:cs="Arial"/>
                <w:sz w:val="15"/>
                <w:szCs w:val="15"/>
                <w:lang w:val="en-US"/>
              </w:rPr>
              <w:t>4</w:t>
            </w:r>
            <w:r w:rsidR="00FA4324" w:rsidRPr="00EE3A60">
              <w:rPr>
                <w:rFonts w:ascii="Arial" w:hAnsi="Arial" w:cs="Arial"/>
                <w:sz w:val="15"/>
                <w:szCs w:val="15"/>
              </w:rPr>
              <w:t>2 мг</w:t>
            </w:r>
          </w:p>
          <w:p w:rsidR="00FA4324" w:rsidRPr="00EE3A60" w:rsidRDefault="00103C25" w:rsidP="00C07E53">
            <w:pPr>
              <w:spacing w:line="331" w:lineRule="auto"/>
              <w:ind w:left="-74"/>
              <w:rPr>
                <w:rFonts w:ascii="Arial" w:hAnsi="Arial" w:cs="Arial"/>
                <w:sz w:val="15"/>
                <w:szCs w:val="15"/>
              </w:rPr>
            </w:pPr>
            <w:r w:rsidRPr="00EE3A60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="00767BD4" w:rsidRPr="00EE3A60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="00FA4324" w:rsidRPr="00EE3A60">
              <w:rPr>
                <w:rFonts w:ascii="Arial" w:hAnsi="Arial" w:cs="Arial"/>
                <w:sz w:val="15"/>
                <w:szCs w:val="15"/>
              </w:rPr>
              <w:t>2,000 мг</w:t>
            </w:r>
          </w:p>
        </w:tc>
      </w:tr>
      <w:tr w:rsidR="00FA4324" w:rsidRPr="00EE3A60" w:rsidTr="008C12B2">
        <w:trPr>
          <w:trHeight w:val="80"/>
        </w:trPr>
        <w:tc>
          <w:tcPr>
            <w:tcW w:w="5812" w:type="dxa"/>
            <w:gridSpan w:val="3"/>
            <w:vAlign w:val="center"/>
          </w:tcPr>
          <w:p w:rsidR="00FA4324" w:rsidRDefault="00FA4324" w:rsidP="00C07E53">
            <w:pPr>
              <w:spacing w:line="331" w:lineRule="auto"/>
              <w:ind w:left="-74"/>
              <w:rPr>
                <w:rFonts w:ascii="Arial" w:hAnsi="Arial" w:cs="Arial"/>
                <w:i/>
                <w:sz w:val="15"/>
                <w:szCs w:val="15"/>
              </w:rPr>
            </w:pPr>
            <w:r w:rsidRPr="00EE3A60">
              <w:rPr>
                <w:rFonts w:ascii="Arial" w:hAnsi="Arial" w:cs="Arial"/>
                <w:i/>
                <w:sz w:val="15"/>
                <w:szCs w:val="15"/>
              </w:rPr>
              <w:t>Вспомогательные вещества:</w:t>
            </w:r>
          </w:p>
          <w:p w:rsidR="008C12B2" w:rsidRPr="00142535" w:rsidRDefault="008C12B2" w:rsidP="00C07E53">
            <w:pPr>
              <w:spacing w:line="331" w:lineRule="auto"/>
              <w:ind w:left="-74"/>
              <w:rPr>
                <w:rFonts w:ascii="Arial" w:hAnsi="Arial" w:cs="Arial"/>
                <w:sz w:val="15"/>
                <w:szCs w:val="15"/>
              </w:rPr>
            </w:pPr>
            <w:r w:rsidRPr="00142535">
              <w:rPr>
                <w:rFonts w:ascii="Arial" w:hAnsi="Arial" w:cs="Arial"/>
                <w:sz w:val="15"/>
                <w:szCs w:val="15"/>
              </w:rPr>
              <w:t xml:space="preserve">целлюлоза микрокристаллическая, </w:t>
            </w:r>
            <w:proofErr w:type="spellStart"/>
            <w:r w:rsidRPr="00142535">
              <w:rPr>
                <w:rFonts w:ascii="Arial" w:hAnsi="Arial" w:cs="Arial"/>
                <w:sz w:val="15"/>
                <w:szCs w:val="15"/>
              </w:rPr>
              <w:t>карбоксиметилкрахмал</w:t>
            </w:r>
            <w:proofErr w:type="spellEnd"/>
            <w:r w:rsidRPr="00142535">
              <w:rPr>
                <w:rFonts w:ascii="Arial" w:hAnsi="Arial" w:cs="Arial"/>
                <w:sz w:val="15"/>
                <w:szCs w:val="15"/>
              </w:rPr>
              <w:t xml:space="preserve"> натрия, магния </w:t>
            </w:r>
            <w:proofErr w:type="spellStart"/>
            <w:r w:rsidRPr="00142535">
              <w:rPr>
                <w:rFonts w:ascii="Arial" w:hAnsi="Arial" w:cs="Arial"/>
                <w:sz w:val="15"/>
                <w:szCs w:val="15"/>
              </w:rPr>
              <w:t>стеарат</w:t>
            </w:r>
            <w:proofErr w:type="spellEnd"/>
            <w:r w:rsidRPr="00142535">
              <w:rPr>
                <w:rFonts w:ascii="Arial" w:hAnsi="Arial" w:cs="Arial"/>
                <w:sz w:val="15"/>
                <w:szCs w:val="15"/>
              </w:rPr>
              <w:t>, кремния диоксид коллоидный.</w:t>
            </w:r>
          </w:p>
          <w:p w:rsidR="008C12B2" w:rsidRPr="00EE3A60" w:rsidRDefault="008C12B2" w:rsidP="00C07E53">
            <w:pPr>
              <w:spacing w:line="331" w:lineRule="auto"/>
              <w:ind w:left="-74"/>
              <w:rPr>
                <w:rFonts w:ascii="Arial" w:hAnsi="Arial" w:cs="Arial"/>
                <w:i/>
                <w:sz w:val="15"/>
                <w:szCs w:val="15"/>
              </w:rPr>
            </w:pPr>
            <w:r w:rsidRPr="008530DC">
              <w:rPr>
                <w:rFonts w:ascii="Arial" w:hAnsi="Arial" w:cs="Arial"/>
                <w:i/>
                <w:sz w:val="15"/>
                <w:szCs w:val="15"/>
              </w:rPr>
              <w:t>Оболочка:</w:t>
            </w:r>
            <w:r w:rsidRPr="0014253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142535">
              <w:rPr>
                <w:rFonts w:ascii="Arial" w:hAnsi="Arial" w:cs="Arial"/>
                <w:sz w:val="15"/>
                <w:szCs w:val="15"/>
              </w:rPr>
              <w:t>гипромеллоза</w:t>
            </w:r>
            <w:proofErr w:type="spellEnd"/>
            <w:r w:rsidRPr="00142535">
              <w:rPr>
                <w:rFonts w:ascii="Arial" w:hAnsi="Arial" w:cs="Arial"/>
                <w:sz w:val="15"/>
                <w:szCs w:val="15"/>
              </w:rPr>
              <w:t xml:space="preserve"> 6 </w:t>
            </w:r>
            <w:proofErr w:type="spellStart"/>
            <w:r w:rsidRPr="00142535">
              <w:rPr>
                <w:rFonts w:ascii="Arial" w:hAnsi="Arial" w:cs="Arial"/>
                <w:sz w:val="15"/>
                <w:szCs w:val="15"/>
              </w:rPr>
              <w:t>сР</w:t>
            </w:r>
            <w:proofErr w:type="spellEnd"/>
            <w:r w:rsidRPr="00142535">
              <w:rPr>
                <w:rFonts w:ascii="Arial" w:hAnsi="Arial" w:cs="Arial"/>
                <w:sz w:val="15"/>
                <w:szCs w:val="15"/>
              </w:rPr>
              <w:t xml:space="preserve">, </w:t>
            </w:r>
            <w:proofErr w:type="spellStart"/>
            <w:r w:rsidRPr="00142535">
              <w:rPr>
                <w:rFonts w:ascii="Arial" w:hAnsi="Arial" w:cs="Arial"/>
                <w:sz w:val="15"/>
                <w:szCs w:val="15"/>
              </w:rPr>
              <w:t>макрогол</w:t>
            </w:r>
            <w:proofErr w:type="spellEnd"/>
            <w:r w:rsidRPr="00142535">
              <w:rPr>
                <w:rFonts w:ascii="Arial" w:hAnsi="Arial" w:cs="Arial"/>
                <w:sz w:val="15"/>
                <w:szCs w:val="15"/>
              </w:rPr>
              <w:t xml:space="preserve"> 6000, титана диоксид, тальк.</w:t>
            </w:r>
          </w:p>
        </w:tc>
      </w:tr>
    </w:tbl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b/>
          <w:sz w:val="15"/>
          <w:szCs w:val="15"/>
        </w:rPr>
      </w:pPr>
      <w:r w:rsidRPr="00EE3A60">
        <w:rPr>
          <w:rFonts w:ascii="Arial" w:hAnsi="Arial" w:cs="Arial"/>
          <w:b/>
          <w:sz w:val="15"/>
          <w:szCs w:val="15"/>
        </w:rPr>
        <w:t>Описание: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b/>
          <w:spacing w:val="-4"/>
          <w:sz w:val="15"/>
          <w:szCs w:val="15"/>
          <w:lang w:eastAsia="ar-SA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Круглые двояковыпуклые</w:t>
      </w:r>
      <w:r w:rsidRPr="00EE3A60">
        <w:rPr>
          <w:rFonts w:ascii="Arial" w:hAnsi="Arial" w:cs="Arial"/>
          <w:b/>
          <w:spacing w:val="-4"/>
          <w:sz w:val="15"/>
          <w:szCs w:val="15"/>
          <w:lang w:eastAsia="ar-SA"/>
        </w:rPr>
        <w:t xml:space="preserve"> </w:t>
      </w:r>
      <w:r w:rsidRPr="00EE3A60">
        <w:rPr>
          <w:rFonts w:ascii="Arial" w:hAnsi="Arial" w:cs="Arial"/>
          <w:spacing w:val="-4"/>
          <w:sz w:val="15"/>
          <w:szCs w:val="15"/>
          <w:lang w:eastAsia="ar-SA"/>
        </w:rPr>
        <w:t>таблетки, покрытые пленочной оболочкой белого или почти белого цвета. На поперечном разрезе ядро таблетки белого или почти белого цвета</w:t>
      </w:r>
      <w:r w:rsidRPr="00EE3A60">
        <w:rPr>
          <w:rFonts w:ascii="Arial" w:hAnsi="Arial" w:cs="Arial"/>
          <w:b/>
          <w:spacing w:val="-4"/>
          <w:sz w:val="15"/>
          <w:szCs w:val="15"/>
          <w:lang w:eastAsia="ar-SA"/>
        </w:rPr>
        <w:t xml:space="preserve">  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b/>
          <w:color w:val="000000"/>
          <w:sz w:val="15"/>
          <w:szCs w:val="15"/>
        </w:rPr>
        <w:t>Фармакотерапевтическая группа:</w:t>
      </w:r>
      <w:r w:rsidRPr="00EE3A60">
        <w:rPr>
          <w:rFonts w:ascii="Arial" w:hAnsi="Arial" w:cs="Arial"/>
          <w:color w:val="000000"/>
          <w:sz w:val="15"/>
          <w:szCs w:val="15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серотониновых рецепторов стимулятор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b/>
          <w:color w:val="000000"/>
          <w:sz w:val="15"/>
          <w:szCs w:val="15"/>
        </w:rPr>
        <w:t>Код АТХ:</w:t>
      </w:r>
      <w:r w:rsidRPr="00EE3A60">
        <w:rPr>
          <w:rFonts w:ascii="Arial" w:hAnsi="Arial" w:cs="Arial"/>
          <w:color w:val="000000"/>
          <w:sz w:val="15"/>
          <w:szCs w:val="15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А03АЕ04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b/>
          <w:color w:val="000000"/>
          <w:sz w:val="15"/>
          <w:szCs w:val="15"/>
        </w:rPr>
      </w:pPr>
      <w:r w:rsidRPr="00EE3A60">
        <w:rPr>
          <w:rFonts w:ascii="Arial" w:hAnsi="Arial" w:cs="Arial"/>
          <w:b/>
          <w:color w:val="000000"/>
          <w:sz w:val="15"/>
          <w:szCs w:val="15"/>
        </w:rPr>
        <w:t>Фармакологические свойства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b/>
          <w:i/>
          <w:color w:val="000000"/>
          <w:sz w:val="15"/>
          <w:szCs w:val="15"/>
        </w:rPr>
      </w:pPr>
      <w:proofErr w:type="spellStart"/>
      <w:r w:rsidRPr="00EE3A60">
        <w:rPr>
          <w:rFonts w:ascii="Arial" w:hAnsi="Arial" w:cs="Arial"/>
          <w:b/>
          <w:i/>
          <w:color w:val="000000"/>
          <w:sz w:val="15"/>
          <w:szCs w:val="15"/>
        </w:rPr>
        <w:t>Фармакодинамика</w:t>
      </w:r>
      <w:proofErr w:type="spellEnd"/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– это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дигидробензофуранкарбоксамид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>, усиливающий моторику кишечника.</w:t>
      </w:r>
      <w:r w:rsidR="00956073">
        <w:rPr>
          <w:rFonts w:ascii="Arial" w:hAnsi="Arial" w:cs="Arial"/>
          <w:sz w:val="15"/>
          <w:szCs w:val="15"/>
          <w:lang w:eastAsia="sl-SI"/>
        </w:rPr>
        <w:t xml:space="preserve">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является селективным,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высокоаффинным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агонистом 5НТ</w:t>
      </w:r>
      <w:r w:rsidRPr="00EE3A60">
        <w:rPr>
          <w:rFonts w:ascii="Arial" w:hAnsi="Arial" w:cs="Arial"/>
          <w:sz w:val="15"/>
          <w:szCs w:val="15"/>
          <w:vertAlign w:val="subscript"/>
          <w:lang w:eastAsia="sl-SI"/>
        </w:rPr>
        <w:t>4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-серотониновых рецепторов, что, скорее всего, объясняет его действие на моторику кишечника. Связывание с другими типами рецепторов </w:t>
      </w:r>
      <w:r w:rsidRPr="00EE3A60">
        <w:rPr>
          <w:rFonts w:ascii="Arial" w:hAnsi="Arial" w:cs="Arial"/>
          <w:sz w:val="15"/>
          <w:szCs w:val="15"/>
          <w:lang w:val="en-US" w:eastAsia="sl-SI"/>
        </w:rPr>
        <w:t>in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val="en-US" w:eastAsia="sl-SI"/>
        </w:rPr>
        <w:t>vitro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наблюдалось только при концентрациях вещества, превышающих его сродство к 5НТ</w:t>
      </w:r>
      <w:r w:rsidRPr="00EE3A60">
        <w:rPr>
          <w:rFonts w:ascii="Arial" w:hAnsi="Arial" w:cs="Arial"/>
          <w:sz w:val="15"/>
          <w:szCs w:val="15"/>
          <w:vertAlign w:val="subscript"/>
          <w:lang w:eastAsia="sl-SI"/>
        </w:rPr>
        <w:t>4</w:t>
      </w:r>
      <w:r w:rsidRPr="00EE3A60">
        <w:rPr>
          <w:rFonts w:ascii="Arial" w:hAnsi="Arial" w:cs="Arial"/>
          <w:sz w:val="15"/>
          <w:szCs w:val="15"/>
          <w:lang w:eastAsia="sl-SI"/>
        </w:rPr>
        <w:t>-рецепторам по крайней мере в 150 раз.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b/>
          <w:i/>
          <w:color w:val="000000"/>
          <w:sz w:val="15"/>
          <w:szCs w:val="15"/>
        </w:rPr>
      </w:pPr>
      <w:r w:rsidRPr="00EE3A60">
        <w:rPr>
          <w:rFonts w:ascii="Arial" w:hAnsi="Arial" w:cs="Arial"/>
          <w:b/>
          <w:i/>
          <w:color w:val="000000"/>
          <w:sz w:val="15"/>
          <w:szCs w:val="15"/>
        </w:rPr>
        <w:t>Фармакокинетика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быстро всасывается; после однократного перорального приема дозы 2 мг максимальная концентрация (С</w:t>
      </w:r>
      <w:r w:rsidRPr="00EE3A60">
        <w:rPr>
          <w:rFonts w:ascii="Arial" w:hAnsi="Arial" w:cs="Arial"/>
          <w:sz w:val="15"/>
          <w:szCs w:val="15"/>
          <w:vertAlign w:val="subscript"/>
          <w:lang w:val="en-US" w:eastAsia="sl-SI"/>
        </w:rPr>
        <w:t>max</w:t>
      </w:r>
      <w:r w:rsidRPr="00EE3A60">
        <w:rPr>
          <w:rFonts w:ascii="Arial" w:hAnsi="Arial" w:cs="Arial"/>
          <w:sz w:val="15"/>
          <w:szCs w:val="15"/>
          <w:lang w:eastAsia="sl-SI"/>
        </w:rPr>
        <w:t>) достигается через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2</w:t>
      </w:r>
      <w:r w:rsidR="0054690A" w:rsidRPr="00EE3A60">
        <w:rPr>
          <w:rFonts w:ascii="Arial" w:hAnsi="Arial" w:cs="Arial"/>
          <w:sz w:val="15"/>
          <w:szCs w:val="15"/>
          <w:lang w:eastAsia="sl-SI"/>
        </w:rPr>
        <w:noBreakHyphen/>
      </w:r>
      <w:r w:rsidRPr="00EE3A60">
        <w:rPr>
          <w:rFonts w:ascii="Arial" w:hAnsi="Arial" w:cs="Arial"/>
          <w:sz w:val="15"/>
          <w:szCs w:val="15"/>
          <w:lang w:eastAsia="sl-SI"/>
        </w:rPr>
        <w:t>3</w:t>
      </w:r>
      <w:r w:rsidR="0054690A" w:rsidRPr="00EE3A60">
        <w:rPr>
          <w:rFonts w:ascii="Arial" w:hAnsi="Arial" w:cs="Arial"/>
          <w:sz w:val="15"/>
          <w:szCs w:val="15"/>
          <w:lang w:eastAsia="sl-SI"/>
        </w:rPr>
        <w:t> </w:t>
      </w:r>
      <w:r w:rsidRPr="00EE3A60">
        <w:rPr>
          <w:rFonts w:ascii="Arial" w:hAnsi="Arial" w:cs="Arial"/>
          <w:sz w:val="15"/>
          <w:szCs w:val="15"/>
          <w:lang w:eastAsia="sl-SI"/>
        </w:rPr>
        <w:t>часа.</w:t>
      </w:r>
      <w:r w:rsidR="00956073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Абсолютная биодоступность после перорального приема превышает 90</w:t>
      </w:r>
      <w:r w:rsidR="0054690A" w:rsidRPr="00EE3A60">
        <w:rPr>
          <w:rFonts w:ascii="Arial" w:hAnsi="Arial" w:cs="Arial"/>
          <w:sz w:val="15"/>
          <w:szCs w:val="15"/>
          <w:lang w:eastAsia="sl-SI"/>
        </w:rPr>
        <w:t> </w:t>
      </w:r>
      <w:r w:rsidRPr="00EE3A60">
        <w:rPr>
          <w:rFonts w:ascii="Arial" w:hAnsi="Arial" w:cs="Arial"/>
          <w:sz w:val="15"/>
          <w:szCs w:val="15"/>
          <w:lang w:eastAsia="sl-SI"/>
        </w:rPr>
        <w:t>%. Прием препарата во</w:t>
      </w:r>
      <w:r w:rsidR="00894BEE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время еды не влияет на биодоступность.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распределяется по всему организму, объем распределения в равновесном состоянии составляет 567 л. Связывание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с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белками плазмы</w:t>
      </w:r>
      <w:r w:rsidR="00894BEE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крови составляет примерно</w:t>
      </w:r>
      <w:r w:rsidR="00F351B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30 %.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 xml:space="preserve">Метаболизм препарата в печени человека </w:t>
      </w:r>
      <w:r w:rsidRPr="00EE3A60">
        <w:rPr>
          <w:rFonts w:ascii="Arial" w:hAnsi="Arial" w:cs="Arial"/>
          <w:sz w:val="15"/>
          <w:szCs w:val="15"/>
          <w:lang w:val="en-US" w:eastAsia="sl-SI"/>
        </w:rPr>
        <w:t>in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val="en-US" w:eastAsia="sl-SI"/>
        </w:rPr>
        <w:t>vitro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протекает очень медленно, и образуется лишь небольшое количество</w:t>
      </w:r>
      <w:r w:rsidR="00F351B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метаболитов.</w:t>
      </w:r>
      <w:r w:rsidR="00F351B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После</w:t>
      </w:r>
      <w:r w:rsidR="00894BEE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перорального</w:t>
      </w:r>
      <w:r w:rsidR="00F351B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приема</w:t>
      </w:r>
      <w:r w:rsidR="00F351B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человеком</w:t>
      </w:r>
      <w:r w:rsidR="00F351B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vertAlign w:val="superscript"/>
          <w:lang w:eastAsia="sl-SI"/>
        </w:rPr>
        <w:t>14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С-меченного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в моче и кале в небольшом количестве обнаруживается 8 метаболитов. Основной метаболит (</w:t>
      </w:r>
      <w:r w:rsidRPr="00EE3A60">
        <w:rPr>
          <w:rFonts w:ascii="Arial" w:hAnsi="Arial" w:cs="Arial"/>
          <w:sz w:val="15"/>
          <w:szCs w:val="15"/>
          <w:lang w:val="en-US" w:eastAsia="sl-SI"/>
        </w:rPr>
        <w:t>R</w:t>
      </w:r>
      <w:r w:rsidRPr="00EE3A60">
        <w:rPr>
          <w:rFonts w:ascii="Arial" w:hAnsi="Arial" w:cs="Arial"/>
          <w:sz w:val="15"/>
          <w:szCs w:val="15"/>
          <w:lang w:eastAsia="sl-SI"/>
        </w:rPr>
        <w:t>107504,</w:t>
      </w:r>
      <w:r w:rsidR="00956073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образующийся путем</w:t>
      </w:r>
      <w:r w:rsidR="00103C25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О-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деметелирования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и окисления образующегося спирта до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карбоксикислоты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>) составляет менее</w:t>
      </w:r>
      <w:r w:rsidR="00956073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4</w:t>
      </w:r>
      <w:r w:rsidR="0054690A" w:rsidRPr="00EE3A60">
        <w:rPr>
          <w:rFonts w:ascii="Arial" w:hAnsi="Arial" w:cs="Arial"/>
          <w:sz w:val="15"/>
          <w:szCs w:val="15"/>
          <w:lang w:eastAsia="sl-SI"/>
        </w:rPr>
        <w:t> </w:t>
      </w:r>
      <w:r w:rsidRPr="00EE3A60">
        <w:rPr>
          <w:rFonts w:ascii="Arial" w:hAnsi="Arial" w:cs="Arial"/>
          <w:sz w:val="15"/>
          <w:szCs w:val="15"/>
          <w:lang w:eastAsia="sl-SI"/>
        </w:rPr>
        <w:t>% введенной</w:t>
      </w:r>
      <w:r w:rsidR="00956073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дозы</w:t>
      </w:r>
      <w:r w:rsidR="00F2304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препарата. Как </w:t>
      </w:r>
      <w:proofErr w:type="gramStart"/>
      <w:r w:rsidRPr="00EE3A60">
        <w:rPr>
          <w:rFonts w:ascii="Arial" w:hAnsi="Arial" w:cs="Arial"/>
          <w:sz w:val="15"/>
          <w:szCs w:val="15"/>
          <w:lang w:eastAsia="sl-SI"/>
        </w:rPr>
        <w:t xml:space="preserve">показали </w:t>
      </w:r>
      <w:r w:rsidR="00F2304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исследования</w:t>
      </w:r>
      <w:proofErr w:type="gramEnd"/>
      <w:r w:rsidR="00F2304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с </w:t>
      </w:r>
      <w:r w:rsidR="00F2304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радиоактивной </w:t>
      </w:r>
      <w:r w:rsidR="00F2304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меткой, </w:t>
      </w:r>
      <w:r w:rsidR="00F2304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около</w:t>
      </w:r>
      <w:r w:rsidR="00CF1B11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85 % препарата остается в неизменном виде; метаболит </w:t>
      </w:r>
      <w:r w:rsidRPr="00EE3A60">
        <w:rPr>
          <w:rFonts w:ascii="Arial" w:hAnsi="Arial" w:cs="Arial"/>
          <w:sz w:val="15"/>
          <w:szCs w:val="15"/>
          <w:lang w:val="en-US" w:eastAsia="sl-SI"/>
        </w:rPr>
        <w:t>R</w:t>
      </w:r>
      <w:r w:rsidRPr="00EE3A60">
        <w:rPr>
          <w:rFonts w:ascii="Arial" w:hAnsi="Arial" w:cs="Arial"/>
          <w:sz w:val="15"/>
          <w:szCs w:val="15"/>
          <w:lang w:eastAsia="sl-SI"/>
        </w:rPr>
        <w:t>107504 присутствует в плазме в небольшом количестве.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Большая часть перорально принятой дозы активного компонента выводится в неизменном виде (примерно 60 % почками и, по крайней мере, 6 % с калом). Выведение неизмененного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почками включает пассивную фильтрацию и активную секрецию. Клиренс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из плазмы крови составляет в среднем 317</w:t>
      </w:r>
      <w:r w:rsidR="001F7FE2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мл/мин, конечный период полувыведения – примерно 24 часа. Равновесное состояние достигается через 3-4 дня приема препарата, причем при приеме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в дозе 2</w:t>
      </w:r>
      <w:r w:rsidR="0054690A" w:rsidRPr="00EE3A60">
        <w:rPr>
          <w:rFonts w:ascii="Arial" w:hAnsi="Arial" w:cs="Arial"/>
          <w:sz w:val="15"/>
          <w:szCs w:val="15"/>
          <w:lang w:eastAsia="sl-SI"/>
        </w:rPr>
        <w:t> </w:t>
      </w:r>
      <w:r w:rsidRPr="00EE3A60">
        <w:rPr>
          <w:rFonts w:ascii="Arial" w:hAnsi="Arial" w:cs="Arial"/>
          <w:sz w:val="15"/>
          <w:szCs w:val="15"/>
          <w:lang w:eastAsia="sl-SI"/>
        </w:rPr>
        <w:t>мг 1 раз в день минимальная и максимальная концентрации в плазме</w:t>
      </w:r>
      <w:r w:rsidR="00103C25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крови в равновесном состоянии составляют 2,5 и 7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нг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/мл, соответственно. При приеме 1 раз в день коэффициент </w:t>
      </w:r>
      <w:r w:rsidRPr="00EE3A60">
        <w:rPr>
          <w:rFonts w:ascii="Arial" w:hAnsi="Arial" w:cs="Arial"/>
          <w:sz w:val="15"/>
          <w:szCs w:val="15"/>
          <w:lang w:val="en-US" w:eastAsia="sl-SI"/>
        </w:rPr>
        <w:t>k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препарата колеблется от 1,9 до 2,3. Фармакокинетика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линейно зависит от дозы в диапазоне </w:t>
      </w:r>
      <w:r w:rsidRPr="00EE3A60">
        <w:rPr>
          <w:rFonts w:ascii="Arial" w:hAnsi="Arial" w:cs="Arial"/>
          <w:sz w:val="15"/>
          <w:szCs w:val="15"/>
          <w:lang w:eastAsia="sl-SI"/>
        </w:rPr>
        <w:t>до 20</w:t>
      </w:r>
      <w:r w:rsidR="0054690A" w:rsidRPr="00EE3A60">
        <w:rPr>
          <w:rFonts w:ascii="Arial" w:hAnsi="Arial" w:cs="Arial"/>
          <w:sz w:val="15"/>
          <w:szCs w:val="15"/>
          <w:lang w:eastAsia="sl-SI"/>
        </w:rPr>
        <w:t> </w:t>
      </w:r>
      <w:r w:rsidRPr="00EE3A60">
        <w:rPr>
          <w:rFonts w:ascii="Arial" w:hAnsi="Arial" w:cs="Arial"/>
          <w:sz w:val="15"/>
          <w:szCs w:val="15"/>
          <w:lang w:eastAsia="sl-SI"/>
        </w:rPr>
        <w:t>мг/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сут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>. При длительном приеме препарата 1 раз в день его фармакокинетика не зависит от длительности приема.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iCs/>
          <w:sz w:val="15"/>
          <w:szCs w:val="15"/>
          <w:u w:val="single"/>
        </w:rPr>
      </w:pPr>
      <w:r w:rsidRPr="00EE3A60">
        <w:rPr>
          <w:rFonts w:ascii="Arial" w:hAnsi="Arial" w:cs="Arial"/>
          <w:iCs/>
          <w:sz w:val="15"/>
          <w:szCs w:val="15"/>
          <w:u w:val="single"/>
        </w:rPr>
        <w:t>Фармакокинетика у отдельных групп пациентов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i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eastAsia="sl-SI"/>
        </w:rPr>
        <w:t>Популяционная фармакокинетика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 xml:space="preserve">Популяционный анализ фармакокинетики показал, что общий клиренс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коррелирует с клиренсом креатинина (КК) и не зависит от возраста, веса тела, пола или расы пациентов.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i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eastAsia="sl-SI"/>
        </w:rPr>
        <w:t>Пожилые пациенты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При при</w:t>
      </w:r>
      <w:r w:rsidR="005446E3">
        <w:rPr>
          <w:rFonts w:ascii="Arial" w:hAnsi="Arial" w:cs="Arial"/>
          <w:sz w:val="15"/>
          <w:szCs w:val="15"/>
          <w:lang w:eastAsia="sl-SI"/>
        </w:rPr>
        <w:t>еме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препарата пожилыми пациентами в дозе 1 мг 1 раз в день максимальная концентрация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в плазме крови (С</w:t>
      </w:r>
      <w:r w:rsidRPr="00EE3A60">
        <w:rPr>
          <w:rFonts w:ascii="Arial" w:hAnsi="Arial" w:cs="Arial"/>
          <w:sz w:val="15"/>
          <w:szCs w:val="15"/>
          <w:vertAlign w:val="subscript"/>
          <w:lang w:val="en-US" w:eastAsia="sl-SI"/>
        </w:rPr>
        <w:t>max</w:t>
      </w:r>
      <w:r w:rsidRPr="00EE3A60">
        <w:rPr>
          <w:rFonts w:ascii="Arial" w:hAnsi="Arial" w:cs="Arial"/>
          <w:sz w:val="15"/>
          <w:szCs w:val="15"/>
          <w:lang w:eastAsia="sl-SI"/>
        </w:rPr>
        <w:t>) и площадь под кривой «концентрация/время» (</w:t>
      </w:r>
      <w:r w:rsidRPr="00EE3A60">
        <w:rPr>
          <w:rFonts w:ascii="Arial" w:hAnsi="Arial" w:cs="Arial"/>
          <w:sz w:val="15"/>
          <w:szCs w:val="15"/>
          <w:lang w:val="en-US" w:eastAsia="sl-SI"/>
        </w:rPr>
        <w:t>AUC</w:t>
      </w:r>
      <w:r w:rsidRPr="00EE3A60">
        <w:rPr>
          <w:rFonts w:ascii="Arial" w:hAnsi="Arial" w:cs="Arial"/>
          <w:sz w:val="15"/>
          <w:szCs w:val="15"/>
          <w:lang w:eastAsia="sl-SI"/>
        </w:rPr>
        <w:t>) были на 26</w:t>
      </w:r>
      <w:r w:rsidR="0054690A" w:rsidRPr="00EE3A60">
        <w:rPr>
          <w:rFonts w:ascii="Arial" w:hAnsi="Arial" w:cs="Arial"/>
          <w:sz w:val="15"/>
          <w:szCs w:val="15"/>
          <w:lang w:eastAsia="sl-SI"/>
        </w:rPr>
        <w:t> </w:t>
      </w:r>
      <w:r w:rsidRPr="00EE3A60">
        <w:rPr>
          <w:rFonts w:ascii="Arial" w:hAnsi="Arial" w:cs="Arial"/>
          <w:sz w:val="15"/>
          <w:szCs w:val="15"/>
          <w:lang w:eastAsia="sl-SI"/>
        </w:rPr>
        <w:t>% и 28</w:t>
      </w:r>
      <w:r w:rsidR="0054690A" w:rsidRPr="00EE3A60">
        <w:rPr>
          <w:rFonts w:ascii="Arial" w:hAnsi="Arial" w:cs="Arial"/>
          <w:sz w:val="15"/>
          <w:szCs w:val="15"/>
          <w:lang w:eastAsia="sl-SI"/>
        </w:rPr>
        <w:t> </w:t>
      </w:r>
      <w:r w:rsidRPr="00EE3A60">
        <w:rPr>
          <w:rFonts w:ascii="Arial" w:hAnsi="Arial" w:cs="Arial"/>
          <w:sz w:val="15"/>
          <w:szCs w:val="15"/>
          <w:lang w:eastAsia="sl-SI"/>
        </w:rPr>
        <w:t>% соответственно,</w:t>
      </w:r>
      <w:r w:rsidR="00011F8F" w:rsidRPr="00011F8F">
        <w:rPr>
          <w:rFonts w:ascii="Arial" w:hAnsi="Arial" w:cs="Arial"/>
          <w:sz w:val="15"/>
          <w:szCs w:val="15"/>
          <w:lang w:eastAsia="sl-SI"/>
        </w:rPr>
        <w:t xml:space="preserve"> </w:t>
      </w:r>
      <w:bookmarkStart w:id="0" w:name="_GoBack"/>
      <w:bookmarkEnd w:id="0"/>
      <w:r w:rsidRPr="00EE3A60">
        <w:rPr>
          <w:rFonts w:ascii="Arial" w:hAnsi="Arial" w:cs="Arial"/>
          <w:sz w:val="15"/>
          <w:szCs w:val="15"/>
          <w:lang w:eastAsia="sl-SI"/>
        </w:rPr>
        <w:t>больше</w:t>
      </w:r>
      <w:r w:rsidR="00011F8F" w:rsidRPr="00011F8F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чем у молодых пациентов. Это различие может быть связано с ослаблением функции почек у пожилых людей.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i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eastAsia="sl-SI"/>
        </w:rPr>
        <w:t>Нарушение функции почек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По сравнению с пациентами</w:t>
      </w:r>
      <w:r w:rsidR="00894BEE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с</w:t>
      </w:r>
      <w:r w:rsidR="00894BEE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нормальной функцией почек,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у больных со слабым (КК 50-79 мл/мин) и умеренно выраженным (КК 25-49 мл/мин) нарушением функции почек концентрация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в плазме крове после однократного приема в дозе 2 мг была повышена на 25 % и 51 % соответственно. У больных с тяжелым нарушением функции почек (КК менее</w:t>
      </w:r>
      <w:r w:rsidR="00956073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24 мл/мин) концентрация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в плазме крови была в 2,3 раза выше, чем у здоровых людей. 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i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eastAsia="sl-SI"/>
        </w:rPr>
        <w:t>Нарушение функции печени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 xml:space="preserve">Около 35 %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выводится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экстраренально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>, поэтому нарушение функции печени вряд ли клинически значимо изменит фармакокинетику препарата.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i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eastAsia="sl-SI"/>
        </w:rPr>
        <w:t>Дети</w:t>
      </w:r>
    </w:p>
    <w:p w:rsidR="00FA4324" w:rsidRPr="00EE3A60" w:rsidRDefault="00FA4324" w:rsidP="0017295B">
      <w:pPr>
        <w:tabs>
          <w:tab w:val="center" w:pos="4677"/>
        </w:tabs>
        <w:spacing w:line="331" w:lineRule="auto"/>
        <w:ind w:right="-171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 xml:space="preserve">После однократного перорального приема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="0017295B" w:rsidRPr="0017295B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в дозе 0,03 мг/кг детьми в возрасте 4-12 лет С</w:t>
      </w:r>
      <w:r w:rsidRPr="00EE3A60">
        <w:rPr>
          <w:rFonts w:ascii="Arial" w:hAnsi="Arial" w:cs="Arial"/>
          <w:sz w:val="15"/>
          <w:szCs w:val="15"/>
          <w:vertAlign w:val="subscript"/>
          <w:lang w:val="en-US" w:eastAsia="sl-SI"/>
        </w:rPr>
        <w:t>max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препарата была такой же, как после приема препарата взрослыми в дозе 2 мг, а </w:t>
      </w:r>
      <w:r w:rsidRPr="00EE3A60">
        <w:rPr>
          <w:rFonts w:ascii="Arial" w:hAnsi="Arial" w:cs="Arial"/>
          <w:sz w:val="15"/>
          <w:szCs w:val="15"/>
          <w:lang w:val="en-US" w:eastAsia="sl-SI"/>
        </w:rPr>
        <w:t>AUC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несвязанной фракции препарата была на 30-40 % меньше, чем у взрослых, и не зависела от возраста детей. Средний период полувыведения препарата в терминальной фазе составляет у детей примерно 19 часов (диапазон 11,6 - 26,8 ч).</w:t>
      </w:r>
    </w:p>
    <w:p w:rsidR="00EA6186" w:rsidRPr="00EE3A60" w:rsidRDefault="00FA4324" w:rsidP="00C07E53">
      <w:pPr>
        <w:spacing w:line="331" w:lineRule="auto"/>
        <w:jc w:val="both"/>
        <w:rPr>
          <w:rFonts w:ascii="Arial" w:hAnsi="Arial" w:cs="Arial"/>
          <w:b/>
          <w:color w:val="000000"/>
          <w:sz w:val="15"/>
          <w:szCs w:val="15"/>
        </w:rPr>
      </w:pPr>
      <w:r w:rsidRPr="00EE3A60">
        <w:rPr>
          <w:rFonts w:ascii="Arial" w:hAnsi="Arial" w:cs="Arial"/>
          <w:b/>
          <w:color w:val="000000"/>
          <w:sz w:val="15"/>
          <w:szCs w:val="15"/>
        </w:rPr>
        <w:t>Показания к применению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b/>
          <w:color w:val="000000"/>
          <w:sz w:val="15"/>
          <w:szCs w:val="15"/>
        </w:rPr>
      </w:pP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предназначен для симптоматической терапии хронического запора у женщин, у которых слабительные средства не обеспечили достаточного эффекта в устранении симптомов.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b/>
          <w:bCs/>
          <w:color w:val="000000"/>
          <w:sz w:val="15"/>
          <w:szCs w:val="15"/>
        </w:rPr>
        <w:t>Противопоказания</w:t>
      </w:r>
    </w:p>
    <w:p w:rsidR="00FA4324" w:rsidRPr="00EE3A60" w:rsidRDefault="00FA4324" w:rsidP="00C07E53">
      <w:pPr>
        <w:numPr>
          <w:ilvl w:val="0"/>
          <w:numId w:val="1"/>
        </w:numPr>
        <w:spacing w:line="331" w:lineRule="auto"/>
        <w:ind w:left="426"/>
        <w:jc w:val="both"/>
        <w:rPr>
          <w:rFonts w:ascii="Arial" w:hAnsi="Arial" w:cs="Arial"/>
          <w:color w:val="000000"/>
          <w:sz w:val="15"/>
          <w:szCs w:val="15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Гиперчувствительность к активному компоненту или любому вспомогательному веществу.</w:t>
      </w:r>
    </w:p>
    <w:p w:rsidR="00FA4324" w:rsidRPr="00EE3A60" w:rsidRDefault="00FA4324" w:rsidP="00C07E53">
      <w:pPr>
        <w:numPr>
          <w:ilvl w:val="0"/>
          <w:numId w:val="1"/>
        </w:numPr>
        <w:spacing w:line="331" w:lineRule="auto"/>
        <w:ind w:left="426"/>
        <w:jc w:val="both"/>
        <w:rPr>
          <w:rFonts w:ascii="Arial" w:hAnsi="Arial" w:cs="Arial"/>
          <w:color w:val="000000"/>
          <w:sz w:val="15"/>
          <w:szCs w:val="15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Нарушение функции почек, требующее проведения диализа</w:t>
      </w:r>
      <w:r w:rsidRPr="00EE3A60">
        <w:rPr>
          <w:rFonts w:ascii="Arial" w:hAnsi="Arial" w:cs="Arial"/>
          <w:color w:val="000000"/>
          <w:sz w:val="15"/>
          <w:szCs w:val="15"/>
        </w:rPr>
        <w:t>.</w:t>
      </w:r>
    </w:p>
    <w:p w:rsidR="00FA4324" w:rsidRPr="00EE3A60" w:rsidRDefault="00FA4324" w:rsidP="00C07E53">
      <w:pPr>
        <w:numPr>
          <w:ilvl w:val="0"/>
          <w:numId w:val="1"/>
        </w:numPr>
        <w:spacing w:line="331" w:lineRule="auto"/>
        <w:ind w:left="426"/>
        <w:jc w:val="both"/>
        <w:rPr>
          <w:rFonts w:ascii="Arial" w:hAnsi="Arial" w:cs="Arial"/>
          <w:color w:val="000000"/>
          <w:sz w:val="15"/>
          <w:szCs w:val="15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Перфорация или обструкция кишечника вследствие анатомических или функциональных нарушений стенки кишечника, механическая кишечная непроходимость, тяжелое воспаление кишечника, например,</w:t>
      </w:r>
      <w:r w:rsidR="00956073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болезнь Крона, язвенный колит и токсический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мегалон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>/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мегаректум</w:t>
      </w:r>
      <w:proofErr w:type="spellEnd"/>
      <w:r w:rsidRPr="00EE3A60">
        <w:rPr>
          <w:rFonts w:ascii="Arial" w:hAnsi="Arial" w:cs="Arial"/>
          <w:color w:val="000000"/>
          <w:sz w:val="15"/>
          <w:szCs w:val="15"/>
        </w:rPr>
        <w:t>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b/>
          <w:sz w:val="15"/>
          <w:szCs w:val="15"/>
        </w:rPr>
      </w:pPr>
      <w:r w:rsidRPr="00EE3A60">
        <w:rPr>
          <w:rFonts w:ascii="Arial" w:hAnsi="Arial" w:cs="Arial"/>
          <w:b/>
          <w:sz w:val="15"/>
          <w:szCs w:val="15"/>
        </w:rPr>
        <w:t>С осторожностью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sz w:val="15"/>
          <w:szCs w:val="15"/>
        </w:rPr>
        <w:t>Применение препарата у больных с тяжелыми и клинически нестабильными</w:t>
      </w:r>
      <w:r w:rsidR="00EA6186" w:rsidRPr="00EE3A60">
        <w:rPr>
          <w:rFonts w:ascii="Arial" w:hAnsi="Arial" w:cs="Arial"/>
          <w:sz w:val="15"/>
          <w:szCs w:val="15"/>
        </w:rPr>
        <w:t xml:space="preserve"> </w:t>
      </w:r>
      <w:r w:rsidRPr="00EE3A60">
        <w:rPr>
          <w:rFonts w:ascii="Arial" w:hAnsi="Arial" w:cs="Arial"/>
          <w:sz w:val="15"/>
          <w:szCs w:val="15"/>
        </w:rPr>
        <w:t>сопутствующими заболеваниями (заболеваниями почек, легких, сердечно-сосудистыми, неврологическими,</w:t>
      </w:r>
      <w:r w:rsidR="00956073">
        <w:rPr>
          <w:rFonts w:ascii="Arial" w:hAnsi="Arial" w:cs="Arial"/>
          <w:sz w:val="15"/>
          <w:szCs w:val="15"/>
        </w:rPr>
        <w:t xml:space="preserve"> </w:t>
      </w:r>
      <w:r w:rsidRPr="00EE3A60">
        <w:rPr>
          <w:rFonts w:ascii="Arial" w:hAnsi="Arial" w:cs="Arial"/>
          <w:sz w:val="15"/>
          <w:szCs w:val="15"/>
        </w:rPr>
        <w:t>эндокринными заболеваниями,</w:t>
      </w:r>
      <w:r w:rsidR="00EB6035" w:rsidRPr="00EE3A60">
        <w:rPr>
          <w:rFonts w:ascii="Arial" w:hAnsi="Arial" w:cs="Arial"/>
          <w:sz w:val="15"/>
          <w:szCs w:val="15"/>
        </w:rPr>
        <w:t xml:space="preserve"> </w:t>
      </w:r>
      <w:r w:rsidRPr="00EE3A60">
        <w:rPr>
          <w:rFonts w:ascii="Arial" w:hAnsi="Arial" w:cs="Arial"/>
          <w:sz w:val="15"/>
          <w:szCs w:val="15"/>
        </w:rPr>
        <w:t>психическими</w:t>
      </w:r>
      <w:r w:rsidR="009508BC" w:rsidRPr="00EE3A60">
        <w:rPr>
          <w:rFonts w:ascii="Arial" w:hAnsi="Arial" w:cs="Arial"/>
          <w:sz w:val="15"/>
          <w:szCs w:val="15"/>
        </w:rPr>
        <w:t xml:space="preserve"> </w:t>
      </w:r>
      <w:r w:rsidRPr="00EE3A60">
        <w:rPr>
          <w:rFonts w:ascii="Arial" w:hAnsi="Arial" w:cs="Arial"/>
          <w:sz w:val="15"/>
          <w:szCs w:val="15"/>
        </w:rPr>
        <w:t xml:space="preserve">расстройствами, онкологическими заболеваниями, СПИДом) не изучалось. Следует проявлять осторожность при назначении препарата </w:t>
      </w:r>
      <w:proofErr w:type="spellStart"/>
      <w:r w:rsidRPr="00EE3A60">
        <w:rPr>
          <w:rFonts w:ascii="Arial" w:hAnsi="Arial" w:cs="Arial"/>
          <w:sz w:val="15"/>
          <w:szCs w:val="15"/>
        </w:rPr>
        <w:t>Прукалоприд</w:t>
      </w:r>
      <w:proofErr w:type="spellEnd"/>
      <w:r w:rsidRPr="00EE3A60">
        <w:rPr>
          <w:rFonts w:ascii="Arial" w:hAnsi="Arial" w:cs="Arial"/>
          <w:sz w:val="15"/>
          <w:szCs w:val="15"/>
        </w:rPr>
        <w:t xml:space="preserve"> у больных с сердечной аритмией или ишемической болезнью сердца в анамнезе.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b/>
          <w:bCs/>
          <w:sz w:val="15"/>
          <w:szCs w:val="15"/>
        </w:rPr>
      </w:pPr>
      <w:r w:rsidRPr="00EE3A60">
        <w:rPr>
          <w:rFonts w:ascii="Arial" w:hAnsi="Arial" w:cs="Arial"/>
          <w:b/>
          <w:bCs/>
          <w:sz w:val="15"/>
          <w:szCs w:val="15"/>
        </w:rPr>
        <w:t>Применение при беременности и в период грудного вскармливания</w:t>
      </w:r>
    </w:p>
    <w:p w:rsidR="00F2304C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 xml:space="preserve">Опыт применения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во время беременности ограничен.</w:t>
      </w:r>
      <w:r w:rsidR="00EB6035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В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клинических исследованиях зарегистрированы случаи выкидыша, хотя, учитывая наличие других факторов риска, связь этих явлений с применением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остается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недоказанной.</w:t>
      </w:r>
      <w:r w:rsidR="000D7A92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="000D7A92" w:rsidRPr="00EE3A60">
        <w:rPr>
          <w:rFonts w:ascii="Arial" w:hAnsi="Arial" w:cs="Arial"/>
          <w:sz w:val="15"/>
          <w:szCs w:val="15"/>
          <w:lang w:eastAsia="sl-SI"/>
        </w:rPr>
        <w:t xml:space="preserve">  </w:t>
      </w:r>
      <w:r w:rsidRPr="00EE3A60">
        <w:rPr>
          <w:rFonts w:ascii="Arial" w:hAnsi="Arial" w:cs="Arial"/>
          <w:sz w:val="15"/>
          <w:szCs w:val="15"/>
          <w:lang w:eastAsia="sl-SI"/>
        </w:rPr>
        <w:t>Исследования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на животных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не выявили прямого или опосредованного неблагоприятного влияния на течение беременности, развитие</w:t>
      </w:r>
      <w:r w:rsidR="00103C25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эмбриона/плода,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роды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и постнатальное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развитие</w:t>
      </w:r>
      <w:r w:rsidR="00BC79DE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потомства. Препарат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не</w:t>
      </w:r>
      <w:r w:rsidR="00BC79DE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рекомендуется применять во время беременности.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 xml:space="preserve">В период лечения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прукалопридом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>, женщины, способные к деторождению, должны использовать адекватные методы контрацепции.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выводится с грудным молоком, однако, при применении в терапевтических дозах препарат вряд ли оказывает влияние на </w:t>
      </w:r>
      <w:r w:rsidRPr="00EE3A60">
        <w:rPr>
          <w:rFonts w:ascii="Arial" w:hAnsi="Arial" w:cs="Arial"/>
          <w:sz w:val="15"/>
          <w:szCs w:val="15"/>
          <w:lang w:eastAsia="sl-SI"/>
        </w:rPr>
        <w:lastRenderedPageBreak/>
        <w:t>новорожденных/грудных детей. Из-за отсутствия данных о применении у кормящих матерей препарат не рекомендуется применять в период грудного вскармливания.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Исследования на животных не выявили какого-либо влияния препарата на фертильность особей мужского и женского пола.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b/>
          <w:bCs/>
          <w:color w:val="000000"/>
          <w:sz w:val="15"/>
          <w:szCs w:val="15"/>
        </w:rPr>
        <w:t xml:space="preserve">Способ применения и </w:t>
      </w:r>
      <w:r w:rsidRPr="00EE3A60">
        <w:rPr>
          <w:rFonts w:ascii="Arial" w:hAnsi="Arial" w:cs="Arial"/>
          <w:b/>
          <w:color w:val="000000"/>
          <w:sz w:val="15"/>
          <w:szCs w:val="15"/>
        </w:rPr>
        <w:t>дозы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Препарат</w:t>
      </w:r>
      <w:r w:rsidR="00894BEE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принимают</w:t>
      </w:r>
      <w:r w:rsidR="00894BEE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внутрь, независимо от</w:t>
      </w:r>
      <w:r w:rsidR="00894BEE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приема</w:t>
      </w:r>
      <w:r w:rsidR="00894BEE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пищи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в любое время суток.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eastAsia="sl-SI"/>
        </w:rPr>
        <w:t xml:space="preserve">Взрослые: </w:t>
      </w:r>
      <w:r w:rsidRPr="00EE3A60">
        <w:rPr>
          <w:rFonts w:ascii="Arial" w:hAnsi="Arial" w:cs="Arial"/>
          <w:sz w:val="15"/>
          <w:szCs w:val="15"/>
          <w:lang w:eastAsia="sl-SI"/>
        </w:rPr>
        <w:t>2 мг 1 раз в день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eastAsia="sl-SI"/>
        </w:rPr>
        <w:t>Пожилые (старше 65 лет):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начинают с 1 мг 1 раз в день, при необходимости, дозу повышают до 2 мг 1 раз в день.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eastAsia="sl-SI"/>
        </w:rPr>
        <w:t>Дети и подростки: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не рекомендуется применять у детей и подростков до 18 лет.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eastAsia="sl-SI"/>
        </w:rPr>
        <w:t>Больные с нарушением функции почек: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при тяжелом нарушении функции почек (скорость клубочковой фильтрации</w:t>
      </w:r>
      <w:r w:rsidR="00675E9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менее 30 мл/мин/1,73 м</w:t>
      </w:r>
      <w:r w:rsidRPr="00EE3A60">
        <w:rPr>
          <w:rFonts w:ascii="Arial" w:hAnsi="Arial" w:cs="Arial"/>
          <w:sz w:val="15"/>
          <w:szCs w:val="15"/>
          <w:vertAlign w:val="superscript"/>
          <w:lang w:eastAsia="sl-SI"/>
        </w:rPr>
        <w:t>2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) </w:t>
      </w:r>
      <w:proofErr w:type="gramStart"/>
      <w:r w:rsidRPr="00EE3A60">
        <w:rPr>
          <w:rFonts w:ascii="Arial" w:hAnsi="Arial" w:cs="Arial"/>
          <w:sz w:val="15"/>
          <w:szCs w:val="15"/>
          <w:lang w:eastAsia="sl-SI"/>
        </w:rPr>
        <w:t xml:space="preserve">доза </w:t>
      </w:r>
      <w:r w:rsidR="00C21F05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составляет</w:t>
      </w:r>
      <w:proofErr w:type="gramEnd"/>
      <w:r w:rsidRPr="00EE3A60">
        <w:rPr>
          <w:rFonts w:ascii="Arial" w:hAnsi="Arial" w:cs="Arial"/>
          <w:sz w:val="15"/>
          <w:szCs w:val="15"/>
          <w:lang w:eastAsia="sl-SI"/>
        </w:rPr>
        <w:t xml:space="preserve"> 1 мг 1 раз в день. Для больных со слабым и умеренно выраженным</w:t>
      </w:r>
      <w:r w:rsidR="000D7A92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нарушением функции почек</w:t>
      </w:r>
      <w:r w:rsidR="000D7A92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коррекции</w:t>
      </w:r>
      <w:r w:rsidR="000D7A92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дозы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не требуется.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eastAsia="sl-SI"/>
        </w:rPr>
        <w:t>Больные с нарушением функции печени: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при тяжелом нарушении</w:t>
      </w:r>
      <w:r w:rsidR="00675E9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печени</w:t>
      </w:r>
      <w:r w:rsidR="00675E9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(класс С по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Чайлд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>-Пью)</w:t>
      </w:r>
      <w:r w:rsidR="00675E9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доза</w:t>
      </w:r>
      <w:r w:rsidR="00675E9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составляет 1 мг 1 раз в день. Для больных со слабым и умеренно выраженным нарушением функции печени коррекции дозы не требуется.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 xml:space="preserve">Из-за специфического механизма действия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(стимуляция моторики кишечника) увеличение суточной дозы более 2 мг вряд ли приведет к усилению эффекта. 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Если прием</w:t>
      </w:r>
      <w:r w:rsidR="00675E9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1 раз</w:t>
      </w:r>
      <w:r w:rsidR="00675E9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в день в течение 4 недель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не дает эффекта, следует повторно обследовать больного и</w:t>
      </w:r>
      <w:r w:rsidR="00956073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определить целесообразность продолжения лечения.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b/>
          <w:bCs/>
          <w:color w:val="000000"/>
          <w:sz w:val="15"/>
          <w:szCs w:val="15"/>
        </w:rPr>
        <w:t xml:space="preserve">Побочное </w:t>
      </w:r>
      <w:r w:rsidRPr="00EE3A60">
        <w:rPr>
          <w:rFonts w:ascii="Arial" w:hAnsi="Arial" w:cs="Arial"/>
          <w:b/>
          <w:color w:val="000000"/>
          <w:sz w:val="15"/>
          <w:szCs w:val="15"/>
        </w:rPr>
        <w:t>действие</w:t>
      </w:r>
    </w:p>
    <w:p w:rsidR="00FA4324" w:rsidRPr="00EE3A60" w:rsidRDefault="00FA4324" w:rsidP="00C07E53">
      <w:pPr>
        <w:autoSpaceDE w:val="0"/>
        <w:autoSpaceDN w:val="0"/>
        <w:adjustRightInd w:val="0"/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val="sl-SI" w:eastAsia="sl-SI"/>
        </w:rPr>
        <w:t xml:space="preserve">Частота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развития </w:t>
      </w:r>
      <w:r w:rsidRPr="00EE3A60">
        <w:rPr>
          <w:rFonts w:ascii="Arial" w:hAnsi="Arial" w:cs="Arial"/>
          <w:sz w:val="15"/>
          <w:szCs w:val="15"/>
          <w:lang w:val="sl-SI" w:eastAsia="sl-SI"/>
        </w:rPr>
        <w:t xml:space="preserve">побочных </w:t>
      </w:r>
      <w:r w:rsidRPr="00EE3A60">
        <w:rPr>
          <w:rFonts w:ascii="Arial" w:hAnsi="Arial" w:cs="Arial"/>
          <w:sz w:val="15"/>
          <w:szCs w:val="15"/>
          <w:lang w:eastAsia="sl-SI"/>
        </w:rPr>
        <w:t>действий после применения препарата классифицирована согласно рекомендациям ВОЗ</w:t>
      </w:r>
      <w:r w:rsidRPr="00EE3A60">
        <w:rPr>
          <w:rFonts w:ascii="Arial" w:hAnsi="Arial" w:cs="Arial"/>
          <w:sz w:val="15"/>
          <w:szCs w:val="15"/>
          <w:lang w:val="sl-SI" w:eastAsia="sl-SI"/>
        </w:rPr>
        <w:t>: очень часто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≥1/10;</w:t>
      </w:r>
      <w:r w:rsidR="00675E9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val="sl-SI" w:eastAsia="sl-SI"/>
        </w:rPr>
        <w:t>часто</w:t>
      </w:r>
      <w:r w:rsidR="00675E9D" w:rsidRPr="00EE3A60">
        <w:rPr>
          <w:rFonts w:ascii="Arial" w:hAnsi="Arial" w:cs="Arial"/>
          <w:sz w:val="15"/>
          <w:szCs w:val="15"/>
          <w:lang w:val="sl-SI"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val="sl-SI"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≥1/100, &lt;1/10; </w:t>
      </w:r>
      <w:r w:rsidRPr="00EE3A60">
        <w:rPr>
          <w:rFonts w:ascii="Arial" w:hAnsi="Arial" w:cs="Arial"/>
          <w:sz w:val="15"/>
          <w:szCs w:val="15"/>
          <w:lang w:val="sl-SI" w:eastAsia="sl-SI"/>
        </w:rPr>
        <w:t>нечасто</w:t>
      </w:r>
      <w:r w:rsidR="00675E9D" w:rsidRPr="00EE3A60">
        <w:rPr>
          <w:rFonts w:ascii="Arial" w:hAnsi="Arial" w:cs="Arial"/>
          <w:sz w:val="15"/>
          <w:szCs w:val="15"/>
          <w:lang w:val="sl-SI"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≥ 1/1000</w:t>
      </w:r>
      <w:r w:rsidRPr="00EE3A60">
        <w:rPr>
          <w:rFonts w:ascii="Arial" w:hAnsi="Arial" w:cs="Arial"/>
          <w:sz w:val="15"/>
          <w:szCs w:val="15"/>
          <w:lang w:val="sl-SI" w:eastAsia="sl-SI"/>
        </w:rPr>
        <w:t>,</w:t>
      </w:r>
      <w:r w:rsidR="00956073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&lt; 1/100</w:t>
      </w:r>
      <w:r w:rsidRPr="00EE3A60">
        <w:rPr>
          <w:rFonts w:ascii="Arial" w:hAnsi="Arial" w:cs="Arial"/>
          <w:sz w:val="15"/>
          <w:szCs w:val="15"/>
          <w:lang w:val="sl-SI" w:eastAsia="sl-SI"/>
        </w:rPr>
        <w:t>; редко ≥ 1/10000,</w:t>
      </w:r>
      <w:r w:rsidR="00956073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&lt;1/1000</w:t>
      </w:r>
      <w:r w:rsidRPr="00EE3A60">
        <w:rPr>
          <w:rFonts w:ascii="Arial" w:hAnsi="Arial" w:cs="Arial"/>
          <w:sz w:val="15"/>
          <w:szCs w:val="15"/>
          <w:lang w:val="sl-SI" w:eastAsia="sl-SI"/>
        </w:rPr>
        <w:t xml:space="preserve">; очень </w:t>
      </w:r>
      <w:r w:rsidR="0029365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val="sl-SI" w:eastAsia="sl-SI"/>
        </w:rPr>
        <w:t>редко</w:t>
      </w:r>
      <w:r w:rsidR="0029365D" w:rsidRPr="00EE3A60">
        <w:rPr>
          <w:rFonts w:ascii="Arial" w:hAnsi="Arial" w:cs="Arial"/>
          <w:sz w:val="15"/>
          <w:szCs w:val="15"/>
          <w:lang w:eastAsia="sl-SI"/>
        </w:rPr>
        <w:t xml:space="preserve">  </w:t>
      </w:r>
      <w:r w:rsidRPr="00EE3A60">
        <w:rPr>
          <w:rFonts w:ascii="Arial" w:hAnsi="Arial" w:cs="Arial"/>
          <w:sz w:val="15"/>
          <w:szCs w:val="15"/>
          <w:lang w:val="sl-SI" w:eastAsia="sl-SI"/>
        </w:rPr>
        <w:t xml:space="preserve"> &lt; 1/10000,</w:t>
      </w:r>
      <w:r w:rsidR="0029365D" w:rsidRPr="00EE3A60">
        <w:rPr>
          <w:rFonts w:ascii="Arial" w:hAnsi="Arial" w:cs="Arial"/>
          <w:sz w:val="15"/>
          <w:szCs w:val="15"/>
          <w:lang w:eastAsia="sl-SI"/>
        </w:rPr>
        <w:t xml:space="preserve">  </w:t>
      </w:r>
      <w:r w:rsidRPr="00EE3A60">
        <w:rPr>
          <w:rFonts w:ascii="Arial" w:hAnsi="Arial" w:cs="Arial"/>
          <w:sz w:val="15"/>
          <w:szCs w:val="15"/>
          <w:lang w:val="sl-SI" w:eastAsia="sl-SI"/>
        </w:rPr>
        <w:t xml:space="preserve"> включая </w:t>
      </w:r>
      <w:r w:rsidR="0029365D" w:rsidRPr="00EE3A60">
        <w:rPr>
          <w:rFonts w:ascii="Arial" w:hAnsi="Arial" w:cs="Arial"/>
          <w:sz w:val="15"/>
          <w:szCs w:val="15"/>
          <w:lang w:eastAsia="sl-SI"/>
        </w:rPr>
        <w:t xml:space="preserve">  </w:t>
      </w:r>
      <w:r w:rsidRPr="00EE3A60">
        <w:rPr>
          <w:rFonts w:ascii="Arial" w:hAnsi="Arial" w:cs="Arial"/>
          <w:sz w:val="15"/>
          <w:szCs w:val="15"/>
          <w:lang w:val="sl-SI" w:eastAsia="sl-SI"/>
        </w:rPr>
        <w:t xml:space="preserve">единичные </w:t>
      </w:r>
      <w:r w:rsidR="0029365D" w:rsidRPr="00EE3A60">
        <w:rPr>
          <w:rFonts w:ascii="Arial" w:hAnsi="Arial" w:cs="Arial"/>
          <w:sz w:val="15"/>
          <w:szCs w:val="15"/>
          <w:lang w:eastAsia="sl-SI"/>
        </w:rPr>
        <w:t xml:space="preserve">  </w:t>
      </w:r>
      <w:r w:rsidRPr="00EE3A60">
        <w:rPr>
          <w:rFonts w:ascii="Arial" w:hAnsi="Arial" w:cs="Arial"/>
          <w:sz w:val="15"/>
          <w:szCs w:val="15"/>
          <w:lang w:eastAsia="sl-SI"/>
        </w:rPr>
        <w:t>случаи</w:t>
      </w:r>
      <w:r w:rsidRPr="00EE3A60">
        <w:rPr>
          <w:rFonts w:ascii="Arial" w:hAnsi="Arial" w:cs="Arial"/>
          <w:sz w:val="15"/>
          <w:szCs w:val="15"/>
          <w:lang w:val="sl-SI" w:eastAsia="sl-SI"/>
        </w:rPr>
        <w:t>.</w:t>
      </w:r>
    </w:p>
    <w:p w:rsidR="00FA4324" w:rsidRPr="00EE3A60" w:rsidRDefault="00FA4324" w:rsidP="00C07E53">
      <w:pPr>
        <w:numPr>
          <w:ilvl w:val="12"/>
          <w:numId w:val="0"/>
        </w:numPr>
        <w:tabs>
          <w:tab w:val="left" w:pos="8505"/>
        </w:tabs>
        <w:spacing w:line="331" w:lineRule="auto"/>
        <w:ind w:right="-2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val="sl-SI" w:eastAsia="sl-SI"/>
        </w:rPr>
        <w:t>Со стороны нервной системы</w:t>
      </w:r>
      <w:r w:rsidRPr="00EE3A60">
        <w:rPr>
          <w:rFonts w:ascii="Arial" w:hAnsi="Arial" w:cs="Arial"/>
          <w:sz w:val="15"/>
          <w:szCs w:val="15"/>
          <w:lang w:eastAsia="sl-SI"/>
        </w:rPr>
        <w:t>: очень часто – головная боль; часто – головокружение; нечасто – тремор.</w:t>
      </w:r>
    </w:p>
    <w:p w:rsidR="00EA6186" w:rsidRPr="00EE3A60" w:rsidRDefault="00FA4324" w:rsidP="00C07E53">
      <w:pPr>
        <w:numPr>
          <w:ilvl w:val="12"/>
          <w:numId w:val="0"/>
        </w:numPr>
        <w:tabs>
          <w:tab w:val="left" w:pos="8505"/>
        </w:tabs>
        <w:spacing w:line="331" w:lineRule="auto"/>
        <w:ind w:right="-2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val="sl-SI" w:eastAsia="sl-SI"/>
        </w:rPr>
        <w:t>Со стороны сердечно-сосудистой системы</w:t>
      </w:r>
      <w:r w:rsidRPr="00EE3A60">
        <w:rPr>
          <w:rFonts w:ascii="Arial" w:hAnsi="Arial" w:cs="Arial"/>
          <w:sz w:val="15"/>
          <w:szCs w:val="15"/>
          <w:lang w:val="sl-SI" w:eastAsia="sl-SI"/>
        </w:rPr>
        <w:t>: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нечасто – сердцебиение.</w:t>
      </w:r>
    </w:p>
    <w:p w:rsidR="00ED563C" w:rsidRPr="00EE3A60" w:rsidRDefault="00FA4324" w:rsidP="00C07E53">
      <w:pPr>
        <w:numPr>
          <w:ilvl w:val="12"/>
          <w:numId w:val="0"/>
        </w:numPr>
        <w:tabs>
          <w:tab w:val="left" w:pos="8505"/>
        </w:tabs>
        <w:spacing w:line="331" w:lineRule="auto"/>
        <w:ind w:right="-2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val="sl-SI" w:eastAsia="sl-SI"/>
        </w:rPr>
        <w:t xml:space="preserve">Со стороны </w:t>
      </w:r>
      <w:r w:rsidRPr="00EE3A60">
        <w:rPr>
          <w:rFonts w:ascii="Arial" w:hAnsi="Arial" w:cs="Arial"/>
          <w:i/>
          <w:sz w:val="15"/>
          <w:szCs w:val="15"/>
          <w:lang w:eastAsia="sl-SI"/>
        </w:rPr>
        <w:t>пищеварительной системы</w:t>
      </w:r>
      <w:r w:rsidRPr="00EE3A60">
        <w:rPr>
          <w:rFonts w:ascii="Arial" w:hAnsi="Arial" w:cs="Arial"/>
          <w:sz w:val="15"/>
          <w:szCs w:val="15"/>
          <w:lang w:val="sl-SI" w:eastAsia="sl-SI"/>
        </w:rPr>
        <w:t>: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очень часто – тошнота, диарея, боль в животе; часто – снижение аппетита, рвота, диспепсия, метеоризм, патологические кишечные шумы; нечасто – ректальное кровотечение, анорексия.</w:t>
      </w:r>
    </w:p>
    <w:p w:rsidR="00FA4324" w:rsidRPr="00EE3A60" w:rsidRDefault="00FA4324" w:rsidP="00C07E53">
      <w:pPr>
        <w:numPr>
          <w:ilvl w:val="12"/>
          <w:numId w:val="0"/>
        </w:numPr>
        <w:tabs>
          <w:tab w:val="left" w:pos="8505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val="sl-SI" w:eastAsia="sl-SI"/>
        </w:rPr>
        <w:t>Со стороны мочеполовой системы</w:t>
      </w:r>
      <w:r w:rsidRPr="00EE3A60">
        <w:rPr>
          <w:rFonts w:ascii="Arial" w:hAnsi="Arial" w:cs="Arial"/>
          <w:sz w:val="15"/>
          <w:szCs w:val="15"/>
          <w:lang w:val="sl-SI" w:eastAsia="sl-SI"/>
        </w:rPr>
        <w:t>: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часто – поллакиурия.</w:t>
      </w:r>
      <w:r w:rsidRPr="00EE3A60">
        <w:rPr>
          <w:rFonts w:ascii="Arial" w:hAnsi="Arial" w:cs="Arial"/>
          <w:i/>
          <w:sz w:val="15"/>
          <w:szCs w:val="15"/>
          <w:lang w:val="sl-SI" w:eastAsia="sl-SI"/>
        </w:rPr>
        <w:t xml:space="preserve"> </w:t>
      </w:r>
    </w:p>
    <w:p w:rsidR="00FA4324" w:rsidRPr="00EE3A60" w:rsidRDefault="00FA4324" w:rsidP="00C07E53">
      <w:pPr>
        <w:numPr>
          <w:ilvl w:val="12"/>
          <w:numId w:val="0"/>
        </w:numPr>
        <w:tabs>
          <w:tab w:val="left" w:pos="8505"/>
        </w:tabs>
        <w:spacing w:line="331" w:lineRule="auto"/>
        <w:ind w:right="-2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i/>
          <w:sz w:val="15"/>
          <w:szCs w:val="15"/>
          <w:lang w:val="sl-SI" w:eastAsia="sl-SI"/>
        </w:rPr>
        <w:t>Прочие: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часто – слабость; нечасто – лихорадка, плохое самочувствие.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b/>
          <w:bCs/>
          <w:sz w:val="15"/>
          <w:szCs w:val="15"/>
        </w:rPr>
      </w:pPr>
      <w:r w:rsidRPr="00EE3A60">
        <w:rPr>
          <w:rFonts w:ascii="Arial" w:hAnsi="Arial" w:cs="Arial"/>
          <w:b/>
          <w:bCs/>
          <w:sz w:val="15"/>
          <w:szCs w:val="15"/>
        </w:rPr>
        <w:t>Передозировка</w:t>
      </w:r>
    </w:p>
    <w:p w:rsidR="00FA4324" w:rsidRPr="00EE3A60" w:rsidRDefault="00FA4324" w:rsidP="00C07E53">
      <w:pPr>
        <w:numPr>
          <w:ilvl w:val="12"/>
          <w:numId w:val="0"/>
        </w:numPr>
        <w:tabs>
          <w:tab w:val="left" w:pos="8505"/>
        </w:tabs>
        <w:spacing w:line="331" w:lineRule="auto"/>
        <w:ind w:right="-2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Симптомы: обусловлены усилением известных побочных эффектов препарата, включая головную боль, тошноту и диарею.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Специфического</w:t>
      </w:r>
      <w:r w:rsidR="00675E9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антидота для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не существует. </w:t>
      </w:r>
    </w:p>
    <w:p w:rsidR="00FA4324" w:rsidRPr="00EE3A60" w:rsidRDefault="00FA4324" w:rsidP="00C07E53">
      <w:pPr>
        <w:numPr>
          <w:ilvl w:val="12"/>
          <w:numId w:val="0"/>
        </w:numPr>
        <w:tabs>
          <w:tab w:val="left" w:pos="8505"/>
        </w:tabs>
        <w:spacing w:line="331" w:lineRule="auto"/>
        <w:ind w:right="-2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Лечение: симптоматическая и поддерживающая терапии. Большая потеря жидкости в результате диареи или рвоты может потребовать коррекции нарушений электролитного баланса.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b/>
          <w:bCs/>
          <w:color w:val="000000"/>
          <w:sz w:val="15"/>
          <w:szCs w:val="15"/>
        </w:rPr>
        <w:t>Взаимодействие</w:t>
      </w:r>
      <w:r w:rsidR="009508BC" w:rsidRPr="00EE3A60"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r w:rsidRPr="00EE3A60">
        <w:rPr>
          <w:rFonts w:ascii="Arial" w:hAnsi="Arial" w:cs="Arial"/>
          <w:b/>
          <w:bCs/>
          <w:color w:val="000000"/>
          <w:sz w:val="15"/>
          <w:szCs w:val="15"/>
        </w:rPr>
        <w:t>с</w:t>
      </w:r>
      <w:r w:rsidR="00C7221E" w:rsidRPr="00EE3A60"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r w:rsidRPr="00EE3A60">
        <w:rPr>
          <w:rFonts w:ascii="Arial" w:hAnsi="Arial" w:cs="Arial"/>
          <w:b/>
          <w:bCs/>
          <w:color w:val="000000"/>
          <w:sz w:val="15"/>
          <w:szCs w:val="15"/>
        </w:rPr>
        <w:t>другими лекарственными средствами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 xml:space="preserve">Данные </w:t>
      </w:r>
      <w:r w:rsidRPr="00EE3A60">
        <w:rPr>
          <w:rFonts w:ascii="Arial" w:hAnsi="Arial" w:cs="Arial"/>
          <w:sz w:val="15"/>
          <w:szCs w:val="15"/>
          <w:lang w:val="en-US" w:eastAsia="sl-SI"/>
        </w:rPr>
        <w:t>in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val="en-US" w:eastAsia="sl-SI"/>
        </w:rPr>
        <w:t>vitro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свидетельствуют о слабой способности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к взаимодействию, и в терапевтических концентрациях он вряд ли влияет на осуществляемый ферментами системы цитохрома метаболизм одновременно применяемых препаратов.</w:t>
      </w:r>
      <w:r w:rsidR="00086699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Хотя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может слабо связываться с Р-гликопротеином (Р-ГП), в клинически значимых концентрациях он не тормозит активности (Р-ГП).</w:t>
      </w:r>
    </w:p>
    <w:p w:rsidR="008C26A8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proofErr w:type="gramStart"/>
      <w:r w:rsidRPr="00EE3A60">
        <w:rPr>
          <w:rFonts w:ascii="Arial" w:hAnsi="Arial" w:cs="Arial"/>
          <w:sz w:val="15"/>
          <w:szCs w:val="15"/>
          <w:lang w:eastAsia="sl-SI"/>
        </w:rPr>
        <w:t>Мощный</w:t>
      </w:r>
      <w:r w:rsidR="008C26A8" w:rsidRPr="008C26A8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ингибитор</w:t>
      </w:r>
      <w:proofErr w:type="gramEnd"/>
      <w:r w:rsidR="008C26A8" w:rsidRPr="008C26A8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val="en-US" w:eastAsia="sl-SI"/>
        </w:rPr>
        <w:t>CYP</w:t>
      </w:r>
      <w:r w:rsidRPr="00EE3A60">
        <w:rPr>
          <w:rFonts w:ascii="Arial" w:hAnsi="Arial" w:cs="Arial"/>
          <w:sz w:val="15"/>
          <w:szCs w:val="15"/>
          <w:lang w:eastAsia="sl-SI"/>
        </w:rPr>
        <w:t>3</w:t>
      </w:r>
      <w:r w:rsidRPr="00EE3A60">
        <w:rPr>
          <w:rFonts w:ascii="Arial" w:hAnsi="Arial" w:cs="Arial"/>
          <w:sz w:val="15"/>
          <w:szCs w:val="15"/>
          <w:lang w:val="en-US" w:eastAsia="sl-SI"/>
        </w:rPr>
        <w:t>A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4 и Р-гликопротеина </w:t>
      </w:r>
      <w:r w:rsidR="008C26A8" w:rsidRPr="008C26A8">
        <w:rPr>
          <w:rFonts w:ascii="Arial" w:hAnsi="Arial" w:cs="Arial"/>
          <w:sz w:val="15"/>
          <w:szCs w:val="15"/>
          <w:lang w:eastAsia="sl-SI"/>
        </w:rPr>
        <w:t xml:space="preserve">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кетоконазол</w:t>
      </w:r>
      <w:proofErr w:type="spellEnd"/>
      <w:r w:rsidR="008C26A8" w:rsidRPr="008C26A8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в</w:t>
      </w:r>
      <w:r w:rsidR="008C26A8" w:rsidRPr="008C26A8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дозе 200 мг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 xml:space="preserve">2 раза в день увеличивал </w:t>
      </w:r>
      <w:r w:rsidRPr="00EE3A60">
        <w:rPr>
          <w:rFonts w:ascii="Arial" w:hAnsi="Arial" w:cs="Arial"/>
          <w:sz w:val="15"/>
          <w:szCs w:val="15"/>
          <w:lang w:val="en-US" w:eastAsia="sl-SI"/>
        </w:rPr>
        <w:t>AUC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(площадь под кривой «концентрация-время»)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примерно на 40</w:t>
      </w:r>
      <w:r w:rsidR="006868EC" w:rsidRPr="00EE3A60">
        <w:rPr>
          <w:rFonts w:ascii="Arial" w:hAnsi="Arial" w:cs="Arial"/>
          <w:sz w:val="15"/>
          <w:szCs w:val="15"/>
          <w:lang w:eastAsia="sl-SI"/>
        </w:rPr>
        <w:t> </w:t>
      </w:r>
      <w:r w:rsidRPr="00EE3A60">
        <w:rPr>
          <w:rFonts w:ascii="Arial" w:hAnsi="Arial" w:cs="Arial"/>
          <w:sz w:val="15"/>
          <w:szCs w:val="15"/>
          <w:lang w:eastAsia="sl-SI"/>
        </w:rPr>
        <w:t>%. Этот эффект слишком мал, чтобы быть клинически значимым, и, скорее всего, связан с подавлением осуществляемого</w:t>
      </w:r>
      <w:r w:rsidR="00F351B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Р-гликопротеином активного транспорта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в почках. Такое же взаимодействие, как с</w:t>
      </w:r>
      <w:r w:rsidR="006C650B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кетоконазолом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>, может</w:t>
      </w:r>
      <w:r w:rsidR="0029365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наблюдаться</w:t>
      </w:r>
      <w:r w:rsidR="0029365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и</w:t>
      </w:r>
      <w:r w:rsidR="0029365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с</w:t>
      </w:r>
      <w:r w:rsidR="006C650B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другими ингибиторами</w:t>
      </w:r>
      <w:r w:rsidR="00F351B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Р-гликопротеинов,</w:t>
      </w:r>
      <w:r w:rsidR="00956073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например,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верапамилом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>,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циклоспорином А</w:t>
      </w:r>
      <w:r w:rsidR="00C7221E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и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хинидином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.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>, скорее всего, также транспортируется в почках и другими переносчиками.</w:t>
      </w:r>
      <w:r w:rsidR="006C650B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Теоретически, подавление активности всех</w:t>
      </w:r>
      <w:r w:rsidR="00F351B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переносчиков, участвующих в активной секреции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в почках (включая</w:t>
      </w:r>
      <w:r w:rsidR="00F351B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Р-гликопротеин), может увеличивать уровень его системного воздействия на 75 %.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 xml:space="preserve">Исследования с участием здоровых добровольцев показали отсутствие клинически значимого влияния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на фармакокинетику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варфарина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,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дигоксина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>, этилового спирта и</w:t>
      </w:r>
      <w:r w:rsidR="00956073">
        <w:rPr>
          <w:rFonts w:ascii="Arial" w:hAnsi="Arial" w:cs="Arial"/>
          <w:sz w:val="15"/>
          <w:szCs w:val="15"/>
          <w:lang w:eastAsia="sl-SI"/>
        </w:rPr>
        <w:t xml:space="preserve">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пароксетина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>. При одновременном</w:t>
      </w:r>
      <w:r w:rsidR="00F351B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применении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и эритромицина концентрация последнего в плазме крови повышается на 30 %. Механизм этого взаимодействия до конца не ясен, но имеющиеся данные указывают на то, что оно, скорее всего, является не результатом прямого действия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>, а следствием высокой вариабельности</w:t>
      </w:r>
      <w:r w:rsidR="00F351B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>фармакокинетики самого эритромицина.</w:t>
      </w:r>
    </w:p>
    <w:p w:rsidR="00ED563C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Пробенецид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,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циметидин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, эритромицин и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пароксетин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в терапевтических дозах не влияли на фармакокинетику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>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Взаимодействие с пищей не обнаружено.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  <w:r w:rsidRPr="00EE3A60">
        <w:rPr>
          <w:rFonts w:ascii="Arial" w:hAnsi="Arial" w:cs="Arial"/>
          <w:b/>
          <w:bCs/>
          <w:color w:val="000000"/>
          <w:sz w:val="15"/>
          <w:szCs w:val="15"/>
        </w:rPr>
        <w:t>Особые указания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bCs/>
          <w:color w:val="000000"/>
          <w:sz w:val="15"/>
          <w:szCs w:val="15"/>
        </w:rPr>
        <w:t xml:space="preserve">Основной путь выведения </w:t>
      </w:r>
      <w:proofErr w:type="spellStart"/>
      <w:r w:rsidRPr="00EE3A60">
        <w:rPr>
          <w:rFonts w:ascii="Arial" w:hAnsi="Arial" w:cs="Arial"/>
          <w:bCs/>
          <w:color w:val="000000"/>
          <w:sz w:val="15"/>
          <w:szCs w:val="15"/>
        </w:rPr>
        <w:t>прукалоприда</w:t>
      </w:r>
      <w:proofErr w:type="spellEnd"/>
      <w:r w:rsidRPr="00EE3A60">
        <w:rPr>
          <w:rFonts w:ascii="Arial" w:hAnsi="Arial" w:cs="Arial"/>
          <w:bCs/>
          <w:color w:val="000000"/>
          <w:sz w:val="15"/>
          <w:szCs w:val="15"/>
        </w:rPr>
        <w:t xml:space="preserve"> – через почки. Для больных с тяжелым нарушением функции почек рекомендуемая доза составляет 1 мг.  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При тяжелой диарее может снижаться эффективность пероральных</w:t>
      </w:r>
      <w:r w:rsidR="009508BC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контрацептивов, и рекомендуется использовать дополнительные методы контрацепции для предотвращения снижения эффективности пероральных контрацептивов (см. инструкции по применению пероральных контрацептивов). 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 xml:space="preserve">Нарушение функции печени вряд ли клинически значимо влияет на метаболизм и уровень системного воздействия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у людей. Данных о применении препарата у больных со слабым, умеренно выраженным или тяжелым нарушением функции печени нет, поэтому для больных с тяжелым нарушением функции печени рекомендуется меньшая доза.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 xml:space="preserve">Для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не было выявлено ни феномена рикошета, ни развития зависимости. Изучение влияния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прукалоприда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на интервал</w:t>
      </w:r>
      <w:r w:rsidR="00CF1B11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val="en-US" w:eastAsia="sl-SI"/>
        </w:rPr>
        <w:t>QT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 в терапевтических (2 мг) и </w:t>
      </w:r>
      <w:proofErr w:type="spellStart"/>
      <w:r w:rsidRPr="00EE3A60">
        <w:rPr>
          <w:rFonts w:ascii="Arial" w:hAnsi="Arial" w:cs="Arial"/>
          <w:sz w:val="15"/>
          <w:szCs w:val="15"/>
          <w:lang w:eastAsia="sl-SI"/>
        </w:rPr>
        <w:t>супратерапевтических</w:t>
      </w:r>
      <w:proofErr w:type="spellEnd"/>
      <w:r w:rsidRPr="00EE3A60">
        <w:rPr>
          <w:rFonts w:ascii="Arial" w:hAnsi="Arial" w:cs="Arial"/>
          <w:sz w:val="15"/>
          <w:szCs w:val="15"/>
          <w:lang w:eastAsia="sl-SI"/>
        </w:rPr>
        <w:t xml:space="preserve"> (10 мг) дозировках не показало существенных отличий по сравнению с плацебо в отношении значений интервала </w:t>
      </w:r>
      <w:r w:rsidRPr="00EE3A60">
        <w:rPr>
          <w:rFonts w:ascii="Arial" w:hAnsi="Arial" w:cs="Arial"/>
          <w:sz w:val="15"/>
          <w:szCs w:val="15"/>
          <w:lang w:val="en-US" w:eastAsia="sl-SI"/>
        </w:rPr>
        <w:t>QT</w:t>
      </w:r>
      <w:r w:rsidRPr="00EE3A60">
        <w:rPr>
          <w:rFonts w:ascii="Arial" w:hAnsi="Arial" w:cs="Arial"/>
          <w:sz w:val="15"/>
          <w:szCs w:val="15"/>
          <w:lang w:eastAsia="sl-SI"/>
        </w:rPr>
        <w:t>.</w:t>
      </w:r>
      <w:r w:rsidR="00F351BD" w:rsidRPr="00EE3A60">
        <w:rPr>
          <w:rFonts w:ascii="Arial" w:hAnsi="Arial" w:cs="Arial"/>
          <w:sz w:val="15"/>
          <w:szCs w:val="15"/>
          <w:lang w:eastAsia="sl-SI"/>
        </w:rPr>
        <w:t xml:space="preserve"> </w:t>
      </w:r>
      <w:r w:rsidRPr="00EE3A60">
        <w:rPr>
          <w:rFonts w:ascii="Arial" w:hAnsi="Arial" w:cs="Arial"/>
          <w:sz w:val="15"/>
          <w:szCs w:val="15"/>
          <w:lang w:eastAsia="sl-SI"/>
        </w:rPr>
        <w:t xml:space="preserve">Частота нежелательных явлений, связанных с интервалом </w:t>
      </w:r>
      <w:r w:rsidRPr="00EE3A60">
        <w:rPr>
          <w:rFonts w:ascii="Arial" w:hAnsi="Arial" w:cs="Arial"/>
          <w:sz w:val="15"/>
          <w:szCs w:val="15"/>
          <w:lang w:val="en-US" w:eastAsia="sl-SI"/>
        </w:rPr>
        <w:t>QT</w:t>
      </w:r>
      <w:r w:rsidRPr="00EE3A60">
        <w:rPr>
          <w:rFonts w:ascii="Arial" w:hAnsi="Arial" w:cs="Arial"/>
          <w:sz w:val="15"/>
          <w:szCs w:val="15"/>
          <w:lang w:eastAsia="sl-SI"/>
        </w:rPr>
        <w:t>, и желудочковых аритмий была низкой и сопоставимой с таковой на фоне приема плацебо.</w:t>
      </w:r>
    </w:p>
    <w:p w:rsidR="00CF1B11" w:rsidRDefault="00FA4324" w:rsidP="00C07E53">
      <w:pPr>
        <w:spacing w:line="331" w:lineRule="auto"/>
        <w:jc w:val="both"/>
        <w:rPr>
          <w:rFonts w:ascii="Arial" w:hAnsi="Arial" w:cs="Arial"/>
          <w:b/>
          <w:bCs/>
          <w:sz w:val="15"/>
          <w:szCs w:val="15"/>
        </w:rPr>
      </w:pPr>
      <w:r w:rsidRPr="00EE3A60">
        <w:rPr>
          <w:rFonts w:ascii="Arial" w:hAnsi="Arial" w:cs="Arial"/>
          <w:b/>
          <w:bCs/>
          <w:sz w:val="15"/>
          <w:szCs w:val="15"/>
        </w:rPr>
        <w:t>Влияние на способность управлять автотранспортом или работать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b/>
          <w:bCs/>
          <w:sz w:val="15"/>
          <w:szCs w:val="15"/>
        </w:rPr>
      </w:pPr>
      <w:r w:rsidRPr="00EE3A60">
        <w:rPr>
          <w:rFonts w:ascii="Arial" w:hAnsi="Arial" w:cs="Arial"/>
          <w:b/>
          <w:bCs/>
          <w:sz w:val="15"/>
          <w:szCs w:val="15"/>
        </w:rPr>
        <w:t>с механизмами</w:t>
      </w:r>
    </w:p>
    <w:p w:rsidR="00FA4324" w:rsidRPr="00EE3A60" w:rsidRDefault="00FA4324" w:rsidP="00C07E53">
      <w:pPr>
        <w:tabs>
          <w:tab w:val="center" w:pos="4677"/>
        </w:tabs>
        <w:spacing w:line="331" w:lineRule="auto"/>
        <w:jc w:val="both"/>
        <w:rPr>
          <w:rFonts w:ascii="Arial" w:hAnsi="Arial" w:cs="Arial"/>
          <w:sz w:val="15"/>
          <w:szCs w:val="15"/>
          <w:lang w:eastAsia="sl-SI"/>
        </w:rPr>
      </w:pPr>
      <w:r w:rsidRPr="00EE3A60">
        <w:rPr>
          <w:rFonts w:ascii="Arial" w:hAnsi="Arial" w:cs="Arial"/>
          <w:sz w:val="15"/>
          <w:szCs w:val="15"/>
          <w:lang w:eastAsia="sl-SI"/>
        </w:rPr>
        <w:t>Следует соблюдать осторожность при управлении транспортным средством и обслуживании движущихся механизмов, т.к. возможны головокружение и слабость, особенно в первые дни лечения.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b/>
          <w:bCs/>
          <w:sz w:val="15"/>
          <w:szCs w:val="15"/>
        </w:rPr>
        <w:t>Форма выпуска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bCs/>
          <w:sz w:val="15"/>
          <w:szCs w:val="15"/>
        </w:rPr>
      </w:pPr>
      <w:r w:rsidRPr="00EE3A60">
        <w:rPr>
          <w:rFonts w:ascii="Arial" w:hAnsi="Arial" w:cs="Arial"/>
          <w:bCs/>
          <w:sz w:val="15"/>
          <w:szCs w:val="15"/>
        </w:rPr>
        <w:t>Таблетки, покрытые</w:t>
      </w:r>
      <w:r w:rsidR="0029365D" w:rsidRPr="00EE3A60">
        <w:rPr>
          <w:rFonts w:ascii="Arial" w:hAnsi="Arial" w:cs="Arial"/>
          <w:bCs/>
          <w:sz w:val="15"/>
          <w:szCs w:val="15"/>
        </w:rPr>
        <w:t xml:space="preserve">  </w:t>
      </w:r>
      <w:r w:rsidR="00ED315D" w:rsidRPr="00EE3A60">
        <w:rPr>
          <w:rFonts w:ascii="Arial" w:hAnsi="Arial" w:cs="Arial"/>
          <w:bCs/>
          <w:sz w:val="15"/>
          <w:szCs w:val="15"/>
        </w:rPr>
        <w:t xml:space="preserve"> </w:t>
      </w:r>
      <w:r w:rsidRPr="00EE3A60">
        <w:rPr>
          <w:rFonts w:ascii="Arial" w:hAnsi="Arial" w:cs="Arial"/>
          <w:bCs/>
          <w:sz w:val="15"/>
          <w:szCs w:val="15"/>
        </w:rPr>
        <w:t xml:space="preserve">пленочной </w:t>
      </w:r>
      <w:r w:rsidR="0029365D" w:rsidRPr="00EE3A60">
        <w:rPr>
          <w:rFonts w:ascii="Arial" w:hAnsi="Arial" w:cs="Arial"/>
          <w:bCs/>
          <w:sz w:val="15"/>
          <w:szCs w:val="15"/>
        </w:rPr>
        <w:t xml:space="preserve"> </w:t>
      </w:r>
      <w:r w:rsidR="00ED315D" w:rsidRPr="00EE3A60">
        <w:rPr>
          <w:rFonts w:ascii="Arial" w:hAnsi="Arial" w:cs="Arial"/>
          <w:bCs/>
          <w:sz w:val="15"/>
          <w:szCs w:val="15"/>
        </w:rPr>
        <w:t xml:space="preserve"> </w:t>
      </w:r>
      <w:proofErr w:type="gramStart"/>
      <w:r w:rsidRPr="00EE3A60">
        <w:rPr>
          <w:rFonts w:ascii="Arial" w:hAnsi="Arial" w:cs="Arial"/>
          <w:bCs/>
          <w:sz w:val="15"/>
          <w:szCs w:val="15"/>
        </w:rPr>
        <w:t xml:space="preserve">оболочкой, </w:t>
      </w:r>
      <w:r w:rsidR="00ED315D" w:rsidRPr="00EE3A60">
        <w:rPr>
          <w:rFonts w:ascii="Arial" w:hAnsi="Arial" w:cs="Arial"/>
          <w:bCs/>
          <w:sz w:val="15"/>
          <w:szCs w:val="15"/>
        </w:rPr>
        <w:t xml:space="preserve"> </w:t>
      </w:r>
      <w:r w:rsidRPr="00EE3A60">
        <w:rPr>
          <w:rFonts w:ascii="Arial" w:hAnsi="Arial" w:cs="Arial"/>
          <w:bCs/>
          <w:sz w:val="15"/>
          <w:szCs w:val="15"/>
        </w:rPr>
        <w:t>1</w:t>
      </w:r>
      <w:proofErr w:type="gramEnd"/>
      <w:r w:rsidR="0029365D" w:rsidRPr="00EE3A60">
        <w:rPr>
          <w:rFonts w:ascii="Arial" w:hAnsi="Arial" w:cs="Arial"/>
          <w:bCs/>
          <w:sz w:val="15"/>
          <w:szCs w:val="15"/>
        </w:rPr>
        <w:t xml:space="preserve"> </w:t>
      </w:r>
      <w:r w:rsidRPr="00EE3A60">
        <w:rPr>
          <w:rFonts w:ascii="Arial" w:hAnsi="Arial" w:cs="Arial"/>
          <w:bCs/>
          <w:sz w:val="15"/>
          <w:szCs w:val="15"/>
        </w:rPr>
        <w:t xml:space="preserve"> мг </w:t>
      </w:r>
      <w:r w:rsidR="0029365D" w:rsidRPr="00EE3A60">
        <w:rPr>
          <w:rFonts w:ascii="Arial" w:hAnsi="Arial" w:cs="Arial"/>
          <w:bCs/>
          <w:sz w:val="15"/>
          <w:szCs w:val="15"/>
        </w:rPr>
        <w:t xml:space="preserve"> </w:t>
      </w:r>
      <w:r w:rsidRPr="00EE3A60">
        <w:rPr>
          <w:rFonts w:ascii="Arial" w:hAnsi="Arial" w:cs="Arial"/>
          <w:bCs/>
          <w:sz w:val="15"/>
          <w:szCs w:val="15"/>
        </w:rPr>
        <w:t>и</w:t>
      </w:r>
      <w:r w:rsidR="006C650B" w:rsidRPr="00EE3A60">
        <w:rPr>
          <w:rFonts w:ascii="Arial" w:hAnsi="Arial" w:cs="Arial"/>
          <w:bCs/>
          <w:sz w:val="15"/>
          <w:szCs w:val="15"/>
        </w:rPr>
        <w:t xml:space="preserve"> </w:t>
      </w:r>
      <w:r w:rsidRPr="00EE3A60">
        <w:rPr>
          <w:rFonts w:ascii="Arial" w:hAnsi="Arial" w:cs="Arial"/>
          <w:bCs/>
          <w:sz w:val="15"/>
          <w:szCs w:val="15"/>
        </w:rPr>
        <w:t>2 мг.</w:t>
      </w:r>
      <w:r w:rsidR="00ED315D" w:rsidRPr="00EE3A60">
        <w:rPr>
          <w:rFonts w:ascii="Arial" w:hAnsi="Arial" w:cs="Arial"/>
          <w:bCs/>
          <w:sz w:val="15"/>
          <w:szCs w:val="15"/>
        </w:rPr>
        <w:t xml:space="preserve">  </w:t>
      </w:r>
      <w:r w:rsidRPr="00EE3A60">
        <w:rPr>
          <w:rFonts w:ascii="Arial" w:hAnsi="Arial" w:cs="Arial"/>
          <w:bCs/>
          <w:sz w:val="15"/>
          <w:szCs w:val="15"/>
        </w:rPr>
        <w:t>По</w:t>
      </w:r>
      <w:r w:rsidR="009508BC" w:rsidRPr="00EE3A60">
        <w:rPr>
          <w:rFonts w:ascii="Arial" w:hAnsi="Arial" w:cs="Arial"/>
          <w:bCs/>
          <w:sz w:val="15"/>
          <w:szCs w:val="15"/>
        </w:rPr>
        <w:t xml:space="preserve"> </w:t>
      </w:r>
      <w:r w:rsidRPr="00EE3A60">
        <w:rPr>
          <w:rFonts w:ascii="Arial" w:hAnsi="Arial" w:cs="Arial"/>
          <w:bCs/>
          <w:sz w:val="15"/>
          <w:szCs w:val="15"/>
        </w:rPr>
        <w:t xml:space="preserve">10 таблеток в контурной ячейковой упаковке. </w:t>
      </w:r>
      <w:r w:rsidRPr="00EE3A60">
        <w:rPr>
          <w:rFonts w:ascii="Arial" w:hAnsi="Arial" w:cs="Arial"/>
          <w:sz w:val="15"/>
          <w:szCs w:val="15"/>
        </w:rPr>
        <w:t>По 1, 2, 3, 4, 5 или 6 контурных ячейковых упаковок вместе с инструкцией по применению в пачке из картона.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b/>
          <w:bCs/>
          <w:color w:val="000000"/>
          <w:sz w:val="15"/>
          <w:szCs w:val="15"/>
        </w:rPr>
        <w:t>Условия хранения</w:t>
      </w:r>
    </w:p>
    <w:p w:rsidR="00FA4324" w:rsidRPr="00EE3A60" w:rsidRDefault="00FA4324" w:rsidP="00C07E53">
      <w:pPr>
        <w:pStyle w:val="Arial"/>
        <w:spacing w:line="331" w:lineRule="auto"/>
        <w:ind w:firstLine="0"/>
        <w:rPr>
          <w:rFonts w:cs="Arial"/>
          <w:sz w:val="15"/>
          <w:szCs w:val="15"/>
        </w:rPr>
      </w:pPr>
      <w:r w:rsidRPr="00EE3A60">
        <w:rPr>
          <w:rFonts w:cs="Arial"/>
          <w:sz w:val="15"/>
          <w:szCs w:val="15"/>
        </w:rPr>
        <w:t>В защищенном от света месте, при температуре не выше 25 ºС.</w:t>
      </w:r>
    </w:p>
    <w:p w:rsidR="00FA4324" w:rsidRPr="00EE3A60" w:rsidRDefault="00FA4324" w:rsidP="00C07E53">
      <w:pPr>
        <w:pStyle w:val="Arial"/>
        <w:spacing w:line="331" w:lineRule="auto"/>
        <w:ind w:firstLine="0"/>
        <w:rPr>
          <w:rFonts w:cs="Arial"/>
          <w:sz w:val="15"/>
          <w:szCs w:val="15"/>
        </w:rPr>
      </w:pPr>
      <w:r w:rsidRPr="00EE3A60">
        <w:rPr>
          <w:rFonts w:cs="Arial"/>
          <w:sz w:val="15"/>
          <w:szCs w:val="15"/>
        </w:rPr>
        <w:t>Хранить в недоступном для детей месте.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b/>
          <w:bCs/>
          <w:color w:val="000000"/>
          <w:sz w:val="15"/>
          <w:szCs w:val="15"/>
        </w:rPr>
        <w:t>Срок годности</w:t>
      </w:r>
    </w:p>
    <w:p w:rsidR="00FA4324" w:rsidRPr="00EE3A60" w:rsidRDefault="00FA4324" w:rsidP="00C07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1" w:lineRule="auto"/>
        <w:jc w:val="both"/>
        <w:rPr>
          <w:rFonts w:ascii="Arial" w:hAnsi="Arial" w:cs="Arial"/>
          <w:color w:val="000000"/>
          <w:sz w:val="15"/>
          <w:szCs w:val="15"/>
        </w:rPr>
      </w:pPr>
      <w:r w:rsidRPr="00EE3A60">
        <w:rPr>
          <w:rFonts w:ascii="Arial" w:hAnsi="Arial" w:cs="Arial"/>
          <w:color w:val="000000"/>
          <w:sz w:val="15"/>
          <w:szCs w:val="15"/>
        </w:rPr>
        <w:t>2 года. Не применять препарат после истечения срока годности, указанного на упаковке.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b/>
          <w:bCs/>
          <w:sz w:val="15"/>
          <w:szCs w:val="15"/>
        </w:rPr>
        <w:t>Условия отпуска</w:t>
      </w:r>
    </w:p>
    <w:p w:rsidR="00FA4324" w:rsidRPr="00EE3A60" w:rsidRDefault="008C12B2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Отпускается по рецепту</w:t>
      </w:r>
      <w:r w:rsidR="00FA4324" w:rsidRPr="00EE3A60">
        <w:rPr>
          <w:rFonts w:ascii="Arial" w:hAnsi="Arial" w:cs="Arial"/>
          <w:sz w:val="15"/>
          <w:szCs w:val="15"/>
        </w:rPr>
        <w:t>.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b/>
          <w:sz w:val="15"/>
          <w:szCs w:val="15"/>
        </w:rPr>
      </w:pPr>
      <w:r w:rsidRPr="00EE3A60">
        <w:rPr>
          <w:rFonts w:ascii="Arial" w:hAnsi="Arial" w:cs="Arial"/>
          <w:b/>
          <w:sz w:val="15"/>
          <w:szCs w:val="15"/>
        </w:rPr>
        <w:t>Юридическое лицо, на имя которого выдано регистрационное удостоверение/ Производитель/ Организация,</w:t>
      </w:r>
      <w:r w:rsidR="00F351BD" w:rsidRPr="00EE3A60">
        <w:rPr>
          <w:rFonts w:ascii="Arial" w:hAnsi="Arial" w:cs="Arial"/>
          <w:b/>
          <w:sz w:val="15"/>
          <w:szCs w:val="15"/>
        </w:rPr>
        <w:t xml:space="preserve"> </w:t>
      </w:r>
      <w:r w:rsidRPr="00EE3A60">
        <w:rPr>
          <w:rFonts w:ascii="Arial" w:hAnsi="Arial" w:cs="Arial"/>
          <w:b/>
          <w:sz w:val="15"/>
          <w:szCs w:val="15"/>
        </w:rPr>
        <w:t>принимающая претензии потребителей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sz w:val="15"/>
          <w:szCs w:val="15"/>
        </w:rPr>
        <w:t>ЗАО «</w:t>
      </w:r>
      <w:proofErr w:type="spellStart"/>
      <w:r w:rsidRPr="00EE3A60">
        <w:rPr>
          <w:rFonts w:ascii="Arial" w:hAnsi="Arial" w:cs="Arial"/>
          <w:sz w:val="15"/>
          <w:szCs w:val="15"/>
        </w:rPr>
        <w:t>Обнинская</w:t>
      </w:r>
      <w:proofErr w:type="spellEnd"/>
      <w:r w:rsidRPr="00EE3A60">
        <w:rPr>
          <w:rFonts w:ascii="Arial" w:hAnsi="Arial" w:cs="Arial"/>
          <w:sz w:val="15"/>
          <w:szCs w:val="15"/>
        </w:rPr>
        <w:t xml:space="preserve"> химико-фармацевтическая компания», Россия</w:t>
      </w:r>
    </w:p>
    <w:p w:rsidR="00FA4324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sz w:val="15"/>
          <w:szCs w:val="15"/>
        </w:rPr>
        <w:t>Юридический адрес: 249036, Калужская обл., г. Обнинск,</w:t>
      </w:r>
      <w:r w:rsidR="00F351BD" w:rsidRPr="00EE3A60">
        <w:rPr>
          <w:rFonts w:ascii="Arial" w:hAnsi="Arial" w:cs="Arial"/>
          <w:sz w:val="15"/>
          <w:szCs w:val="15"/>
        </w:rPr>
        <w:t xml:space="preserve"> </w:t>
      </w:r>
      <w:r w:rsidRPr="00EE3A60">
        <w:rPr>
          <w:rFonts w:ascii="Arial" w:hAnsi="Arial" w:cs="Arial"/>
          <w:sz w:val="15"/>
          <w:szCs w:val="15"/>
        </w:rPr>
        <w:t>ул. Королева, д. 4</w:t>
      </w:r>
    </w:p>
    <w:p w:rsidR="006C650B" w:rsidRPr="00EE3A60" w:rsidRDefault="00FA4324" w:rsidP="00C07E53">
      <w:pPr>
        <w:tabs>
          <w:tab w:val="right" w:pos="9354"/>
        </w:tabs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sz w:val="15"/>
          <w:szCs w:val="15"/>
        </w:rPr>
        <w:t>Адрес места производства: Калужская обл., г. Обнинск,</w:t>
      </w:r>
    </w:p>
    <w:p w:rsidR="00FA4324" w:rsidRPr="00EE3A60" w:rsidRDefault="00FA4324" w:rsidP="00C07E53">
      <w:pPr>
        <w:tabs>
          <w:tab w:val="right" w:pos="9354"/>
        </w:tabs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sz w:val="15"/>
          <w:szCs w:val="15"/>
        </w:rPr>
        <w:t xml:space="preserve">Киевское шоссе, </w:t>
      </w:r>
      <w:proofErr w:type="spellStart"/>
      <w:r w:rsidRPr="00EE3A60">
        <w:rPr>
          <w:rFonts w:ascii="Arial" w:hAnsi="Arial" w:cs="Arial"/>
          <w:sz w:val="15"/>
          <w:szCs w:val="15"/>
        </w:rPr>
        <w:t>зд</w:t>
      </w:r>
      <w:proofErr w:type="spellEnd"/>
      <w:r w:rsidRPr="00EE3A60">
        <w:rPr>
          <w:rFonts w:ascii="Arial" w:hAnsi="Arial" w:cs="Arial"/>
          <w:sz w:val="15"/>
          <w:szCs w:val="15"/>
        </w:rPr>
        <w:t xml:space="preserve">. 103, </w:t>
      </w:r>
      <w:proofErr w:type="spellStart"/>
      <w:r w:rsidRPr="00EE3A60">
        <w:rPr>
          <w:rFonts w:ascii="Arial" w:hAnsi="Arial" w:cs="Arial"/>
          <w:sz w:val="15"/>
          <w:szCs w:val="15"/>
        </w:rPr>
        <w:t>зд</w:t>
      </w:r>
      <w:proofErr w:type="spellEnd"/>
      <w:r w:rsidRPr="00EE3A60">
        <w:rPr>
          <w:rFonts w:ascii="Arial" w:hAnsi="Arial" w:cs="Arial"/>
          <w:sz w:val="15"/>
          <w:szCs w:val="15"/>
        </w:rPr>
        <w:t>. 107</w:t>
      </w:r>
      <w:r w:rsidRPr="00EE3A60">
        <w:rPr>
          <w:rFonts w:ascii="Arial" w:hAnsi="Arial" w:cs="Arial"/>
          <w:sz w:val="15"/>
          <w:szCs w:val="15"/>
        </w:rPr>
        <w:tab/>
      </w:r>
    </w:p>
    <w:p w:rsidR="00F00149" w:rsidRPr="00EE3A60" w:rsidRDefault="00FA4324" w:rsidP="00C07E53">
      <w:pPr>
        <w:spacing w:line="331" w:lineRule="auto"/>
        <w:jc w:val="both"/>
        <w:rPr>
          <w:rFonts w:ascii="Arial" w:hAnsi="Arial" w:cs="Arial"/>
          <w:sz w:val="15"/>
          <w:szCs w:val="15"/>
        </w:rPr>
      </w:pPr>
      <w:r w:rsidRPr="00EE3A60">
        <w:rPr>
          <w:rFonts w:ascii="Arial" w:hAnsi="Arial" w:cs="Arial"/>
          <w:sz w:val="15"/>
          <w:szCs w:val="15"/>
        </w:rPr>
        <w:t>Тел/факс: (484</w:t>
      </w:r>
      <w:r w:rsidR="00303B71" w:rsidRPr="00EE3A60">
        <w:rPr>
          <w:rFonts w:ascii="Arial" w:hAnsi="Arial" w:cs="Arial"/>
          <w:sz w:val="15"/>
          <w:szCs w:val="15"/>
        </w:rPr>
        <w:t xml:space="preserve">) </w:t>
      </w:r>
      <w:r w:rsidRPr="00EE3A60">
        <w:rPr>
          <w:rFonts w:ascii="Arial" w:hAnsi="Arial" w:cs="Arial"/>
          <w:sz w:val="15"/>
          <w:szCs w:val="15"/>
        </w:rPr>
        <w:t>39</w:t>
      </w:r>
      <w:r w:rsidR="00303B71" w:rsidRPr="00EE3A60">
        <w:rPr>
          <w:rFonts w:ascii="Arial" w:hAnsi="Arial" w:cs="Arial"/>
          <w:sz w:val="15"/>
          <w:szCs w:val="15"/>
        </w:rPr>
        <w:t>9-38</w:t>
      </w:r>
      <w:r w:rsidRPr="00EE3A60">
        <w:rPr>
          <w:rFonts w:ascii="Arial" w:hAnsi="Arial" w:cs="Arial"/>
          <w:sz w:val="15"/>
          <w:szCs w:val="15"/>
        </w:rPr>
        <w:t xml:space="preserve">-41, </w:t>
      </w:r>
      <w:r w:rsidR="00303B71" w:rsidRPr="00EE3A60">
        <w:rPr>
          <w:rFonts w:ascii="Arial" w:hAnsi="Arial" w:cs="Arial"/>
          <w:sz w:val="15"/>
          <w:szCs w:val="15"/>
        </w:rPr>
        <w:t>399-38-42</w:t>
      </w:r>
      <w:r w:rsidRPr="00EE3A60">
        <w:rPr>
          <w:rFonts w:ascii="Arial" w:hAnsi="Arial" w:cs="Arial"/>
          <w:sz w:val="15"/>
          <w:szCs w:val="15"/>
        </w:rPr>
        <w:t xml:space="preserve">; </w:t>
      </w:r>
    </w:p>
    <w:p w:rsidR="0044710F" w:rsidRPr="00997ECD" w:rsidRDefault="00FA4324" w:rsidP="00C07E53">
      <w:pPr>
        <w:spacing w:line="331" w:lineRule="auto"/>
        <w:jc w:val="both"/>
        <w:rPr>
          <w:rFonts w:ascii="Arial" w:hAnsi="Arial" w:cs="Arial"/>
          <w:b/>
          <w:sz w:val="15"/>
          <w:szCs w:val="15"/>
          <w:lang w:val="en-US"/>
        </w:rPr>
      </w:pPr>
      <w:r w:rsidRPr="00EE3A60">
        <w:rPr>
          <w:rFonts w:ascii="Arial" w:hAnsi="Arial" w:cs="Arial"/>
          <w:sz w:val="15"/>
          <w:szCs w:val="15"/>
          <w:lang w:val="en-US"/>
        </w:rPr>
        <w:t xml:space="preserve">e-mail: </w:t>
      </w:r>
      <w:r w:rsidR="00561E23" w:rsidRPr="00EE3A60">
        <w:rPr>
          <w:rFonts w:ascii="Arial" w:hAnsi="Arial" w:cs="Arial"/>
          <w:sz w:val="15"/>
          <w:szCs w:val="15"/>
          <w:lang w:val="en-US"/>
        </w:rPr>
        <w:t>obninsk</w:t>
      </w:r>
      <w:r w:rsidRPr="00EE3A60">
        <w:rPr>
          <w:rFonts w:ascii="Arial" w:hAnsi="Arial" w:cs="Arial"/>
          <w:sz w:val="15"/>
          <w:szCs w:val="15"/>
          <w:lang w:val="en-US"/>
        </w:rPr>
        <w:t>@</w:t>
      </w:r>
      <w:r w:rsidR="00561E23" w:rsidRPr="00EE3A60">
        <w:rPr>
          <w:rFonts w:ascii="Arial" w:hAnsi="Arial" w:cs="Arial"/>
          <w:sz w:val="15"/>
          <w:szCs w:val="15"/>
          <w:lang w:val="en-US"/>
        </w:rPr>
        <w:t>mirpharm</w:t>
      </w:r>
      <w:r w:rsidRPr="00EE3A60">
        <w:rPr>
          <w:rFonts w:ascii="Arial" w:hAnsi="Arial" w:cs="Arial"/>
          <w:sz w:val="15"/>
          <w:szCs w:val="15"/>
          <w:lang w:val="en-US"/>
        </w:rPr>
        <w:t>.ru</w:t>
      </w:r>
    </w:p>
    <w:sectPr w:rsidR="0044710F" w:rsidRPr="00997ECD" w:rsidSect="00C07E53">
      <w:type w:val="continuous"/>
      <w:pgSz w:w="11907" w:h="16443" w:code="9"/>
      <w:pgMar w:top="284" w:right="397" w:bottom="284" w:left="397" w:header="709" w:footer="709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4AD1"/>
    <w:multiLevelType w:val="hybridMultilevel"/>
    <w:tmpl w:val="D028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324"/>
    <w:rsid w:val="00004A81"/>
    <w:rsid w:val="00011F8F"/>
    <w:rsid w:val="0004449D"/>
    <w:rsid w:val="00086699"/>
    <w:rsid w:val="000D7A92"/>
    <w:rsid w:val="00103C25"/>
    <w:rsid w:val="0014138A"/>
    <w:rsid w:val="00142535"/>
    <w:rsid w:val="001670BA"/>
    <w:rsid w:val="0017295B"/>
    <w:rsid w:val="001E6F6F"/>
    <w:rsid w:val="001F7FE2"/>
    <w:rsid w:val="002764A4"/>
    <w:rsid w:val="0029365D"/>
    <w:rsid w:val="002A38EF"/>
    <w:rsid w:val="002B5E16"/>
    <w:rsid w:val="002D22CC"/>
    <w:rsid w:val="00303B71"/>
    <w:rsid w:val="0031080B"/>
    <w:rsid w:val="00313BB2"/>
    <w:rsid w:val="00397F35"/>
    <w:rsid w:val="003C43AB"/>
    <w:rsid w:val="003E1769"/>
    <w:rsid w:val="004000D1"/>
    <w:rsid w:val="004B6B4B"/>
    <w:rsid w:val="004E7B8D"/>
    <w:rsid w:val="005446E3"/>
    <w:rsid w:val="0054690A"/>
    <w:rsid w:val="00561E23"/>
    <w:rsid w:val="005B13A6"/>
    <w:rsid w:val="00647ADA"/>
    <w:rsid w:val="00675E9D"/>
    <w:rsid w:val="006868EC"/>
    <w:rsid w:val="006B11CE"/>
    <w:rsid w:val="006C650B"/>
    <w:rsid w:val="00767BD4"/>
    <w:rsid w:val="007C455A"/>
    <w:rsid w:val="007E1382"/>
    <w:rsid w:val="00842CE8"/>
    <w:rsid w:val="00850248"/>
    <w:rsid w:val="008530DC"/>
    <w:rsid w:val="008875E9"/>
    <w:rsid w:val="00894BEE"/>
    <w:rsid w:val="00896342"/>
    <w:rsid w:val="008C00E3"/>
    <w:rsid w:val="008C12B2"/>
    <w:rsid w:val="008C26A8"/>
    <w:rsid w:val="008D5BFE"/>
    <w:rsid w:val="009508BC"/>
    <w:rsid w:val="00956073"/>
    <w:rsid w:val="009660B7"/>
    <w:rsid w:val="00997ECD"/>
    <w:rsid w:val="00A213E8"/>
    <w:rsid w:val="00B6041B"/>
    <w:rsid w:val="00BB59F8"/>
    <w:rsid w:val="00BC79DE"/>
    <w:rsid w:val="00BD1D00"/>
    <w:rsid w:val="00C07E53"/>
    <w:rsid w:val="00C21F05"/>
    <w:rsid w:val="00C67CCC"/>
    <w:rsid w:val="00C7221E"/>
    <w:rsid w:val="00CC56D4"/>
    <w:rsid w:val="00CF1B11"/>
    <w:rsid w:val="00D5583A"/>
    <w:rsid w:val="00DA4EF3"/>
    <w:rsid w:val="00EA6186"/>
    <w:rsid w:val="00EB5BCA"/>
    <w:rsid w:val="00EB6035"/>
    <w:rsid w:val="00EC4573"/>
    <w:rsid w:val="00ED315D"/>
    <w:rsid w:val="00ED563C"/>
    <w:rsid w:val="00EE3A60"/>
    <w:rsid w:val="00F00149"/>
    <w:rsid w:val="00F14A2B"/>
    <w:rsid w:val="00F2304C"/>
    <w:rsid w:val="00F351BD"/>
    <w:rsid w:val="00FA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2EB1"/>
  <w15:docId w15:val="{555DB32F-D96F-4EE5-95C5-46C9B0D7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324"/>
    <w:pPr>
      <w:spacing w:line="240" w:lineRule="auto"/>
      <w:ind w:firstLine="0"/>
      <w:jc w:val="left"/>
    </w:pPr>
    <w:rPr>
      <w:rFonts w:eastAsia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">
    <w:name w:val="ФС текст.Arial"/>
    <w:basedOn w:val="a"/>
    <w:rsid w:val="00FA4324"/>
    <w:pPr>
      <w:widowControl w:val="0"/>
      <w:spacing w:line="360" w:lineRule="auto"/>
      <w:ind w:firstLine="720"/>
      <w:jc w:val="both"/>
    </w:pPr>
    <w:rPr>
      <w:rFonts w:ascii="Arial" w:hAnsi="Arial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670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70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Puchnin</dc:creator>
  <cp:lastModifiedBy>Землянская Ольга</cp:lastModifiedBy>
  <cp:revision>7</cp:revision>
  <cp:lastPrinted>2018-04-02T12:41:00Z</cp:lastPrinted>
  <dcterms:created xsi:type="dcterms:W3CDTF">2018-11-23T06:12:00Z</dcterms:created>
  <dcterms:modified xsi:type="dcterms:W3CDTF">2019-01-09T07:17:00Z</dcterms:modified>
</cp:coreProperties>
</file>